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102"/>
        <w:gridCol w:w="120"/>
        <w:gridCol w:w="2949"/>
        <w:gridCol w:w="120"/>
        <w:gridCol w:w="1194"/>
        <w:gridCol w:w="120"/>
        <w:gridCol w:w="3421"/>
      </w:tblGrid>
      <w:tr w:rsidR="002439AD" w:rsidTr="00441C3C">
        <w:trPr>
          <w:tblCellSpacing w:w="15" w:type="dxa"/>
        </w:trPr>
        <w:tc>
          <w:tcPr>
            <w:tcW w:w="5000" w:type="pct"/>
            <w:gridSpan w:val="7"/>
            <w:shd w:val="clear" w:color="auto" w:fill="FF9263"/>
            <w:vAlign w:val="center"/>
            <w:hideMark/>
          </w:tcPr>
          <w:p w:rsidR="002439AD" w:rsidRDefault="002439AD" w:rsidP="00441C3C">
            <w:pPr>
              <w:jc w:val="center"/>
              <w:rPr>
                <w:rFonts w:eastAsia="Times New Roman"/>
                <w:color w:val="000000"/>
              </w:rPr>
            </w:pPr>
            <w:r>
              <w:rPr>
                <w:rFonts w:eastAsia="Times New Roman"/>
                <w:b/>
                <w:bCs/>
                <w:color w:val="000000"/>
              </w:rPr>
              <w:t>MINUTES</w:t>
            </w:r>
          </w:p>
        </w:tc>
      </w:tr>
      <w:tr w:rsidR="002439AD" w:rsidTr="00441C3C">
        <w:trPr>
          <w:tblCellSpacing w:w="15" w:type="dxa"/>
        </w:trPr>
        <w:tc>
          <w:tcPr>
            <w:tcW w:w="5000" w:type="pct"/>
            <w:gridSpan w:val="7"/>
            <w:tcBorders>
              <w:bottom w:val="nil"/>
            </w:tcBorders>
            <w:shd w:val="clear" w:color="auto" w:fill="FF9263"/>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0" w:type="pct"/>
            <w:gridSpan w:val="7"/>
            <w:shd w:val="clear" w:color="auto" w:fill="FF9263"/>
            <w:hideMark/>
          </w:tcPr>
          <w:p w:rsidR="002439AD" w:rsidRDefault="002439AD" w:rsidP="00441C3C">
            <w:pPr>
              <w:jc w:val="center"/>
              <w:rPr>
                <w:rFonts w:eastAsia="Times New Roman"/>
                <w:color w:val="000000"/>
              </w:rPr>
            </w:pPr>
            <w:r>
              <w:rPr>
                <w:rFonts w:eastAsia="Times New Roman"/>
                <w:i/>
                <w:iCs/>
                <w:color w:val="000000"/>
              </w:rPr>
              <w:t>Finance &amp; Resources No 43</w:t>
            </w:r>
          </w:p>
        </w:tc>
      </w:tr>
      <w:tr w:rsidR="002439AD" w:rsidTr="00441C3C">
        <w:trPr>
          <w:tblCellSpacing w:w="15" w:type="dxa"/>
        </w:trPr>
        <w:tc>
          <w:tcPr>
            <w:tcW w:w="5000" w:type="pct"/>
            <w:gridSpan w:val="7"/>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0" w:type="pct"/>
            <w:gridSpan w:val="7"/>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 w:type="pct"/>
            <w:hideMark/>
          </w:tcPr>
          <w:p w:rsidR="002439AD" w:rsidRDefault="002439AD" w:rsidP="00441C3C">
            <w:pPr>
              <w:jc w:val="right"/>
              <w:rPr>
                <w:rFonts w:eastAsia="Times New Roman"/>
              </w:rPr>
            </w:pPr>
            <w:r>
              <w:rPr>
                <w:rFonts w:eastAsia="Times New Roman"/>
              </w:rPr>
              <w:t>Date:</w:t>
            </w:r>
          </w:p>
        </w:tc>
        <w:tc>
          <w:tcPr>
            <w:tcW w:w="50" w:type="pct"/>
            <w:vAlign w:val="center"/>
            <w:hideMark/>
          </w:tcPr>
          <w:p w:rsidR="002439AD" w:rsidRDefault="002439AD" w:rsidP="00441C3C">
            <w:pPr>
              <w:rPr>
                <w:rFonts w:eastAsia="Times New Roman"/>
              </w:rPr>
            </w:pPr>
            <w:r>
              <w:rPr>
                <w:rFonts w:eastAsia="Times New Roman"/>
              </w:rPr>
              <w:t> </w:t>
            </w:r>
          </w:p>
        </w:tc>
        <w:tc>
          <w:tcPr>
            <w:tcW w:w="1750" w:type="pct"/>
            <w:hideMark/>
          </w:tcPr>
          <w:p w:rsidR="002439AD" w:rsidRDefault="002439AD" w:rsidP="00441C3C">
            <w:pPr>
              <w:rPr>
                <w:rFonts w:eastAsia="Times New Roman"/>
              </w:rPr>
            </w:pPr>
            <w:r>
              <w:rPr>
                <w:rFonts w:eastAsia="Times New Roman"/>
                <w:i/>
                <w:iCs/>
              </w:rPr>
              <w:t>27/06/2023 (Tuesday)</w:t>
            </w:r>
          </w:p>
        </w:tc>
        <w:tc>
          <w:tcPr>
            <w:tcW w:w="100" w:type="pct"/>
            <w:vAlign w:val="center"/>
            <w:hideMark/>
          </w:tcPr>
          <w:p w:rsidR="002439AD" w:rsidRDefault="002439AD" w:rsidP="00441C3C">
            <w:pPr>
              <w:rPr>
                <w:rFonts w:eastAsia="Times New Roman"/>
              </w:rPr>
            </w:pPr>
            <w:r>
              <w:rPr>
                <w:rFonts w:eastAsia="Times New Roman"/>
              </w:rPr>
              <w:t> </w:t>
            </w:r>
          </w:p>
        </w:tc>
        <w:tc>
          <w:tcPr>
            <w:tcW w:w="500" w:type="pct"/>
            <w:hideMark/>
          </w:tcPr>
          <w:p w:rsidR="002439AD" w:rsidRDefault="002439AD" w:rsidP="00441C3C">
            <w:pPr>
              <w:jc w:val="right"/>
              <w:rPr>
                <w:rFonts w:eastAsia="Times New Roman"/>
              </w:rPr>
            </w:pPr>
            <w:r>
              <w:rPr>
                <w:rFonts w:eastAsia="Times New Roman"/>
              </w:rPr>
              <w:t>Time:</w:t>
            </w:r>
          </w:p>
        </w:tc>
        <w:tc>
          <w:tcPr>
            <w:tcW w:w="50" w:type="pct"/>
            <w:vAlign w:val="center"/>
            <w:hideMark/>
          </w:tcPr>
          <w:p w:rsidR="002439AD" w:rsidRDefault="002439AD" w:rsidP="00441C3C">
            <w:pPr>
              <w:rPr>
                <w:rFonts w:eastAsia="Times New Roman"/>
              </w:rPr>
            </w:pPr>
            <w:r>
              <w:rPr>
                <w:rFonts w:eastAsia="Times New Roman"/>
              </w:rPr>
              <w:t> </w:t>
            </w:r>
          </w:p>
        </w:tc>
        <w:tc>
          <w:tcPr>
            <w:tcW w:w="1750" w:type="pct"/>
            <w:hideMark/>
          </w:tcPr>
          <w:p w:rsidR="002439AD" w:rsidRDefault="002439AD" w:rsidP="00441C3C">
            <w:pPr>
              <w:rPr>
                <w:rFonts w:eastAsia="Times New Roman"/>
              </w:rPr>
            </w:pPr>
            <w:r>
              <w:rPr>
                <w:rFonts w:eastAsia="Times New Roman"/>
                <w:i/>
                <w:iCs/>
              </w:rPr>
              <w:t>18:00–20:00</w:t>
            </w:r>
          </w:p>
        </w:tc>
      </w:tr>
      <w:tr w:rsidR="002439AD" w:rsidTr="00441C3C">
        <w:trPr>
          <w:tblCellSpacing w:w="15" w:type="dxa"/>
        </w:trPr>
        <w:tc>
          <w:tcPr>
            <w:tcW w:w="5000" w:type="pct"/>
            <w:gridSpan w:val="7"/>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 w:type="pct"/>
            <w:hideMark/>
          </w:tcPr>
          <w:p w:rsidR="002439AD" w:rsidRDefault="002439AD" w:rsidP="00441C3C">
            <w:pPr>
              <w:jc w:val="right"/>
              <w:rPr>
                <w:rFonts w:eastAsia="Times New Roman"/>
              </w:rPr>
            </w:pPr>
            <w:r>
              <w:rPr>
                <w:rFonts w:eastAsia="Times New Roman"/>
              </w:rPr>
              <w:t>Venue:</w:t>
            </w:r>
          </w:p>
        </w:tc>
        <w:tc>
          <w:tcPr>
            <w:tcW w:w="50" w:type="pct"/>
            <w:vAlign w:val="center"/>
            <w:hideMark/>
          </w:tcPr>
          <w:p w:rsidR="002439AD" w:rsidRDefault="002439AD" w:rsidP="00441C3C">
            <w:pPr>
              <w:rPr>
                <w:rFonts w:eastAsia="Times New Roman"/>
              </w:rPr>
            </w:pPr>
            <w:r>
              <w:rPr>
                <w:rFonts w:eastAsia="Times New Roman"/>
              </w:rPr>
              <w:t> </w:t>
            </w:r>
          </w:p>
        </w:tc>
        <w:tc>
          <w:tcPr>
            <w:tcW w:w="1750" w:type="pct"/>
            <w:hideMark/>
          </w:tcPr>
          <w:p w:rsidR="002439AD" w:rsidRDefault="002439AD" w:rsidP="00441C3C">
            <w:pPr>
              <w:rPr>
                <w:rFonts w:eastAsia="Times New Roman"/>
              </w:rPr>
            </w:pPr>
            <w:r>
              <w:rPr>
                <w:rFonts w:eastAsia="Times New Roman"/>
                <w:i/>
                <w:iCs/>
              </w:rPr>
              <w:t>Via Teams</w:t>
            </w:r>
          </w:p>
        </w:tc>
        <w:tc>
          <w:tcPr>
            <w:tcW w:w="100" w:type="pct"/>
            <w:vAlign w:val="center"/>
            <w:hideMark/>
          </w:tcPr>
          <w:p w:rsidR="002439AD" w:rsidRDefault="002439AD" w:rsidP="00441C3C">
            <w:pPr>
              <w:rPr>
                <w:rFonts w:eastAsia="Times New Roman"/>
              </w:rPr>
            </w:pPr>
            <w:r>
              <w:rPr>
                <w:rFonts w:eastAsia="Times New Roman"/>
              </w:rPr>
              <w:t> </w:t>
            </w:r>
          </w:p>
        </w:tc>
        <w:tc>
          <w:tcPr>
            <w:tcW w:w="500" w:type="pct"/>
            <w:hideMark/>
          </w:tcPr>
          <w:p w:rsidR="002439AD" w:rsidRDefault="002439AD" w:rsidP="00441C3C">
            <w:pPr>
              <w:jc w:val="right"/>
              <w:rPr>
                <w:rFonts w:eastAsia="Times New Roman"/>
              </w:rPr>
            </w:pPr>
            <w:r>
              <w:rPr>
                <w:rFonts w:eastAsia="Times New Roman"/>
              </w:rPr>
              <w:t>Committee:</w:t>
            </w:r>
          </w:p>
        </w:tc>
        <w:tc>
          <w:tcPr>
            <w:tcW w:w="50" w:type="pct"/>
            <w:vAlign w:val="center"/>
            <w:hideMark/>
          </w:tcPr>
          <w:p w:rsidR="002439AD" w:rsidRDefault="002439AD" w:rsidP="00441C3C">
            <w:pPr>
              <w:rPr>
                <w:rFonts w:eastAsia="Times New Roman"/>
              </w:rPr>
            </w:pPr>
            <w:r>
              <w:rPr>
                <w:rFonts w:eastAsia="Times New Roman"/>
              </w:rPr>
              <w:t> </w:t>
            </w:r>
          </w:p>
        </w:tc>
        <w:tc>
          <w:tcPr>
            <w:tcW w:w="1750" w:type="pct"/>
            <w:hideMark/>
          </w:tcPr>
          <w:p w:rsidR="002439AD" w:rsidRDefault="002439AD" w:rsidP="00441C3C">
            <w:pPr>
              <w:rPr>
                <w:rFonts w:eastAsia="Times New Roman"/>
              </w:rPr>
            </w:pPr>
            <w:r>
              <w:rPr>
                <w:rFonts w:eastAsia="Times New Roman"/>
                <w:i/>
                <w:iCs/>
              </w:rPr>
              <w:t>Finance and Resources</w:t>
            </w:r>
          </w:p>
        </w:tc>
      </w:tr>
      <w:tr w:rsidR="002439AD" w:rsidTr="00441C3C">
        <w:trPr>
          <w:tblCellSpacing w:w="15" w:type="dxa"/>
        </w:trPr>
        <w:tc>
          <w:tcPr>
            <w:tcW w:w="5000" w:type="pct"/>
            <w:gridSpan w:val="7"/>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0" w:type="pct"/>
            <w:gridSpan w:val="7"/>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 w:type="pct"/>
            <w:hideMark/>
          </w:tcPr>
          <w:p w:rsidR="002439AD" w:rsidRDefault="002439AD" w:rsidP="00441C3C">
            <w:pPr>
              <w:jc w:val="right"/>
              <w:rPr>
                <w:rFonts w:eastAsia="Times New Roman"/>
              </w:rPr>
            </w:pPr>
            <w:r>
              <w:rPr>
                <w:rFonts w:eastAsia="Times New Roman"/>
              </w:rPr>
              <w:t>Present:</w:t>
            </w:r>
          </w:p>
        </w:tc>
        <w:tc>
          <w:tcPr>
            <w:tcW w:w="50" w:type="pct"/>
            <w:vAlign w:val="center"/>
            <w:hideMark/>
          </w:tcPr>
          <w:p w:rsidR="002439AD" w:rsidRDefault="002439AD" w:rsidP="00441C3C">
            <w:pPr>
              <w:rPr>
                <w:rFonts w:eastAsia="Times New Roman"/>
              </w:rPr>
            </w:pPr>
            <w:r>
              <w:rPr>
                <w:rFonts w:eastAsia="Times New Roman"/>
              </w:rPr>
              <w:t> </w:t>
            </w:r>
          </w:p>
        </w:tc>
        <w:tc>
          <w:tcPr>
            <w:tcW w:w="2700" w:type="pct"/>
            <w:gridSpan w:val="5"/>
            <w:hideMark/>
          </w:tcPr>
          <w:p w:rsidR="002439AD" w:rsidRDefault="002439AD" w:rsidP="00441C3C">
            <w:pPr>
              <w:rPr>
                <w:rFonts w:eastAsia="Times New Roman"/>
              </w:rPr>
            </w:pPr>
            <w:r>
              <w:rPr>
                <w:rFonts w:eastAsia="Times New Roman"/>
                <w:i/>
                <w:iCs/>
              </w:rPr>
              <w:t>Alison Robinson (Principal), Allan Foster, Clare James (Vice Chair), David Hall, Rosie Bryson (Co-opted Member) and Sue Collinge (Chair)</w:t>
            </w:r>
          </w:p>
        </w:tc>
      </w:tr>
      <w:tr w:rsidR="002439AD" w:rsidTr="00441C3C">
        <w:trPr>
          <w:tblCellSpacing w:w="15" w:type="dxa"/>
        </w:trPr>
        <w:tc>
          <w:tcPr>
            <w:tcW w:w="5000" w:type="pct"/>
            <w:gridSpan w:val="7"/>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 w:type="pct"/>
            <w:hideMark/>
          </w:tcPr>
          <w:p w:rsidR="002439AD" w:rsidRDefault="002439AD" w:rsidP="00441C3C">
            <w:pPr>
              <w:jc w:val="right"/>
              <w:rPr>
                <w:rFonts w:eastAsia="Times New Roman"/>
              </w:rPr>
            </w:pPr>
            <w:r>
              <w:rPr>
                <w:rFonts w:eastAsia="Times New Roman"/>
              </w:rPr>
              <w:t>Attending:</w:t>
            </w:r>
          </w:p>
        </w:tc>
        <w:tc>
          <w:tcPr>
            <w:tcW w:w="50" w:type="pct"/>
            <w:vAlign w:val="center"/>
            <w:hideMark/>
          </w:tcPr>
          <w:p w:rsidR="002439AD" w:rsidRDefault="002439AD" w:rsidP="00441C3C">
            <w:pPr>
              <w:rPr>
                <w:rFonts w:eastAsia="Times New Roman"/>
              </w:rPr>
            </w:pPr>
            <w:r>
              <w:rPr>
                <w:rFonts w:eastAsia="Times New Roman"/>
              </w:rPr>
              <w:t> </w:t>
            </w:r>
          </w:p>
        </w:tc>
        <w:tc>
          <w:tcPr>
            <w:tcW w:w="2700" w:type="pct"/>
            <w:gridSpan w:val="5"/>
            <w:hideMark/>
          </w:tcPr>
          <w:p w:rsidR="002439AD" w:rsidRDefault="002439AD" w:rsidP="00441C3C">
            <w:pPr>
              <w:rPr>
                <w:rFonts w:eastAsia="Times New Roman"/>
              </w:rPr>
            </w:pPr>
            <w:r>
              <w:rPr>
                <w:rFonts w:eastAsia="Times New Roman"/>
                <w:i/>
                <w:iCs/>
              </w:rPr>
              <w:t>Janet Whiteside (Director of Finance), Joanne Sherrington (Deputy Principal), John Wherry (Deputy Principal) and Steven Downham-Clarke (Vice Principal)</w:t>
            </w:r>
          </w:p>
        </w:tc>
      </w:tr>
      <w:tr w:rsidR="002439AD" w:rsidTr="00441C3C">
        <w:trPr>
          <w:tblCellSpacing w:w="15" w:type="dxa"/>
        </w:trPr>
        <w:tc>
          <w:tcPr>
            <w:tcW w:w="5000" w:type="pct"/>
            <w:gridSpan w:val="7"/>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 w:type="pct"/>
            <w:hideMark/>
          </w:tcPr>
          <w:p w:rsidR="002439AD" w:rsidRDefault="002439AD" w:rsidP="00441C3C">
            <w:pPr>
              <w:jc w:val="right"/>
              <w:rPr>
                <w:rFonts w:eastAsia="Times New Roman"/>
              </w:rPr>
            </w:pPr>
            <w:r>
              <w:rPr>
                <w:rFonts w:eastAsia="Times New Roman"/>
              </w:rPr>
              <w:t>Clerks:</w:t>
            </w:r>
          </w:p>
        </w:tc>
        <w:tc>
          <w:tcPr>
            <w:tcW w:w="50" w:type="pct"/>
            <w:vAlign w:val="center"/>
            <w:hideMark/>
          </w:tcPr>
          <w:p w:rsidR="002439AD" w:rsidRDefault="002439AD" w:rsidP="00441C3C">
            <w:pPr>
              <w:rPr>
                <w:rFonts w:eastAsia="Times New Roman"/>
              </w:rPr>
            </w:pPr>
            <w:r>
              <w:rPr>
                <w:rFonts w:eastAsia="Times New Roman"/>
              </w:rPr>
              <w:t> </w:t>
            </w:r>
          </w:p>
        </w:tc>
        <w:tc>
          <w:tcPr>
            <w:tcW w:w="2700" w:type="pct"/>
            <w:gridSpan w:val="5"/>
            <w:hideMark/>
          </w:tcPr>
          <w:p w:rsidR="002439AD" w:rsidRDefault="002439AD" w:rsidP="00441C3C">
            <w:pPr>
              <w:rPr>
                <w:rFonts w:eastAsia="Times New Roman"/>
              </w:rPr>
            </w:pPr>
            <w:r>
              <w:rPr>
                <w:rFonts w:eastAsia="Times New Roman"/>
                <w:i/>
                <w:iCs/>
              </w:rPr>
              <w:t>Ron Matthews (Clerk)</w:t>
            </w:r>
          </w:p>
        </w:tc>
      </w:tr>
      <w:tr w:rsidR="002439AD" w:rsidTr="00441C3C">
        <w:trPr>
          <w:tblCellSpacing w:w="15" w:type="dxa"/>
        </w:trPr>
        <w:tc>
          <w:tcPr>
            <w:tcW w:w="5000" w:type="pct"/>
            <w:gridSpan w:val="7"/>
            <w:vAlign w:val="center"/>
            <w:hideMark/>
          </w:tcPr>
          <w:p w:rsidR="002439AD" w:rsidRDefault="002439AD" w:rsidP="00441C3C">
            <w:pPr>
              <w:rPr>
                <w:rFonts w:eastAsia="Times New Roman"/>
              </w:rPr>
            </w:pPr>
            <w:r>
              <w:rPr>
                <w:rFonts w:eastAsia="Times New Roman"/>
              </w:rPr>
              <w:t> </w:t>
            </w:r>
          </w:p>
        </w:tc>
      </w:tr>
    </w:tbl>
    <w:p w:rsidR="002439AD" w:rsidRDefault="002439AD" w:rsidP="002439AD">
      <w:pPr>
        <w:pStyle w:val="NormalWeb"/>
        <w:pageBreakBefore/>
        <w:spacing w:before="0" w:beforeAutospacing="0" w:after="0" w:afterAutospacing="0"/>
        <w:rPr>
          <w:vanish/>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32"/>
        <w:gridCol w:w="7194"/>
      </w:tblGrid>
      <w:tr w:rsidR="002439AD" w:rsidTr="00441C3C">
        <w:trPr>
          <w:tblCellSpacing w:w="15" w:type="dxa"/>
        </w:trPr>
        <w:tc>
          <w:tcPr>
            <w:tcW w:w="5000" w:type="pct"/>
            <w:gridSpan w:val="2"/>
            <w:vAlign w:val="center"/>
            <w:hideMark/>
          </w:tcPr>
          <w:p w:rsidR="002439AD" w:rsidRDefault="002439AD" w:rsidP="00441C3C">
            <w:pPr>
              <w:jc w:val="center"/>
              <w:rPr>
                <w:rFonts w:eastAsia="Times New Roman"/>
              </w:rPr>
            </w:pPr>
            <w:r>
              <w:rPr>
                <w:rFonts w:eastAsia="Times New Roman"/>
                <w:b/>
                <w:bCs/>
                <w:i/>
                <w:iCs/>
              </w:rPr>
              <w:t>Public</w:t>
            </w:r>
            <w:r>
              <w:rPr>
                <w:rFonts w:eastAsia="Times New Roman"/>
                <w:b/>
                <w:bCs/>
              </w:rPr>
              <w:t xml:space="preserve"> Minutes</w:t>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rPr>
              <w:t>Item number:</w:t>
            </w:r>
          </w:p>
        </w:tc>
        <w:tc>
          <w:tcPr>
            <w:tcW w:w="4000" w:type="pct"/>
            <w:hideMark/>
          </w:tcPr>
          <w:p w:rsidR="002439AD" w:rsidRDefault="002439AD" w:rsidP="00441C3C">
            <w:pPr>
              <w:rPr>
                <w:rFonts w:eastAsia="Times New Roman"/>
              </w:rPr>
            </w:pPr>
            <w:r>
              <w:rPr>
                <w:rFonts w:eastAsia="Times New Roman"/>
              </w:rPr>
              <w:t>Item description:</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rPr>
              <w:t>(and category)</w:t>
            </w:r>
          </w:p>
        </w:tc>
        <w:tc>
          <w:tcPr>
            <w:tcW w:w="4000" w:type="pct"/>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18.23</w:t>
            </w:r>
          </w:p>
        </w:tc>
        <w:tc>
          <w:tcPr>
            <w:tcW w:w="4000" w:type="pct"/>
            <w:hideMark/>
          </w:tcPr>
          <w:p w:rsidR="002439AD" w:rsidRDefault="002439AD" w:rsidP="00441C3C">
            <w:pPr>
              <w:rPr>
                <w:rFonts w:eastAsia="Times New Roman"/>
              </w:rPr>
            </w:pPr>
            <w:r>
              <w:rPr>
                <w:rFonts w:eastAsia="Times New Roman"/>
                <w:b/>
                <w:bCs/>
                <w:i/>
                <w:iCs/>
              </w:rPr>
              <w:t>Attendance of College Management</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Decision</w:t>
            </w:r>
          </w:p>
        </w:tc>
        <w:tc>
          <w:tcPr>
            <w:tcW w:w="4000" w:type="pct"/>
            <w:hideMark/>
          </w:tcPr>
          <w:p w:rsidR="002439AD" w:rsidRDefault="002439AD" w:rsidP="00441C3C">
            <w:pPr>
              <w:rPr>
                <w:rFonts w:eastAsia="Times New Roman"/>
              </w:rPr>
            </w:pPr>
            <w:r>
              <w:rPr>
                <w:rFonts w:eastAsia="Times New Roman"/>
              </w:rPr>
              <w:t>Section 8.2 of the current Constitution and Terms of Reference for the Finance &amp; Resources Committee states:</w:t>
            </w:r>
          </w:p>
          <w:p w:rsidR="002439AD" w:rsidRDefault="002439AD" w:rsidP="00441C3C">
            <w:pPr>
              <w:rPr>
                <w:rFonts w:eastAsia="Times New Roman"/>
              </w:rPr>
            </w:pPr>
          </w:p>
          <w:p w:rsidR="002439AD" w:rsidRDefault="002439AD" w:rsidP="00441C3C">
            <w:pPr>
              <w:rPr>
                <w:rFonts w:eastAsia="Times New Roman"/>
                <w:i/>
                <w:iCs/>
              </w:rPr>
            </w:pPr>
            <w:r>
              <w:rPr>
                <w:rFonts w:eastAsia="Times New Roman"/>
              </w:rPr>
              <w:br w:type="page"/>
            </w:r>
            <w:r>
              <w:rPr>
                <w:rFonts w:eastAsia="Times New Roman"/>
              </w:rPr>
              <w:br w:type="page"/>
            </w:r>
            <w:r>
              <w:rPr>
                <w:rStyle w:val="Emphasis"/>
                <w:rFonts w:eastAsia="Times New Roman"/>
              </w:rPr>
              <w:t>College management and/or consultants may attend meetings by invitation in an advisory capacity.</w:t>
            </w:r>
            <w:r>
              <w:rPr>
                <w:rFonts w:eastAsia="Times New Roman"/>
                <w:i/>
                <w:iCs/>
              </w:rPr>
              <w:br w:type="page"/>
            </w:r>
            <w:r>
              <w:rPr>
                <w:rFonts w:eastAsia="Times New Roman"/>
                <w:i/>
                <w:iCs/>
              </w:rPr>
              <w:br w:type="page"/>
            </w:r>
          </w:p>
          <w:p w:rsidR="002439AD" w:rsidRDefault="002439AD" w:rsidP="00441C3C">
            <w:pPr>
              <w:rPr>
                <w:rFonts w:eastAsia="Times New Roman"/>
                <w:i/>
                <w:iCs/>
              </w:rPr>
            </w:pPr>
          </w:p>
          <w:p w:rsidR="002439AD" w:rsidRDefault="002439AD" w:rsidP="00441C3C">
            <w:pPr>
              <w:rPr>
                <w:rStyle w:val="Strong"/>
                <w:rFonts w:eastAsia="Times New Roman"/>
              </w:rPr>
            </w:pPr>
            <w:r>
              <w:rPr>
                <w:rStyle w:val="Strong"/>
                <w:rFonts w:eastAsia="Times New Roman"/>
              </w:rPr>
              <w:t>Resolved:</w:t>
            </w:r>
          </w:p>
          <w:p w:rsidR="002439AD" w:rsidRDefault="002439AD" w:rsidP="00441C3C">
            <w:pPr>
              <w:rPr>
                <w:rStyle w:val="Strong"/>
                <w:rFonts w:eastAsia="Times New Roman"/>
              </w:rPr>
            </w:pPr>
          </w:p>
          <w:p w:rsidR="002439AD" w:rsidRDefault="002439AD" w:rsidP="00441C3C">
            <w:pPr>
              <w:rPr>
                <w:rFonts w:eastAsia="Times New Roman"/>
              </w:rPr>
            </w:pPr>
            <w:r>
              <w:rPr>
                <w:rFonts w:eastAsia="Times New Roman"/>
              </w:rPr>
              <w:br w:type="page"/>
            </w:r>
            <w:r>
              <w:rPr>
                <w:rFonts w:eastAsia="Times New Roman"/>
              </w:rPr>
              <w:br w:type="page"/>
            </w:r>
            <w:r>
              <w:rPr>
                <w:rStyle w:val="Strong"/>
                <w:rFonts w:eastAsia="Times New Roman"/>
              </w:rPr>
              <w:t>That</w:t>
            </w:r>
            <w:r>
              <w:rPr>
                <w:rFonts w:eastAsia="Times New Roman"/>
              </w:rPr>
              <w:t xml:space="preserve"> </w:t>
            </w:r>
            <w:r>
              <w:rPr>
                <w:rStyle w:val="Strong"/>
                <w:rFonts w:eastAsia="Times New Roman"/>
              </w:rPr>
              <w:t>College Management Staff attend the meeting.</w:t>
            </w:r>
            <w:r>
              <w:rPr>
                <w:rFonts w:eastAsia="Times New Roman"/>
                <w:b/>
                <w:bCs/>
              </w:rPr>
              <w:br w:type="page"/>
            </w:r>
            <w:r>
              <w:rPr>
                <w:rFonts w:eastAsia="Times New Roman"/>
                <w:b/>
                <w:bCs/>
              </w:rPr>
              <w:br w:type="page"/>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19.23</w:t>
            </w:r>
          </w:p>
        </w:tc>
        <w:tc>
          <w:tcPr>
            <w:tcW w:w="4000" w:type="pct"/>
            <w:hideMark/>
          </w:tcPr>
          <w:p w:rsidR="002439AD" w:rsidRDefault="002439AD" w:rsidP="00441C3C">
            <w:pPr>
              <w:rPr>
                <w:rFonts w:eastAsia="Times New Roman"/>
              </w:rPr>
            </w:pPr>
            <w:r>
              <w:rPr>
                <w:rFonts w:eastAsia="Times New Roman"/>
                <w:b/>
                <w:bCs/>
                <w:i/>
                <w:iCs/>
              </w:rPr>
              <w:t>Apologies for Absence</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Record</w:t>
            </w:r>
          </w:p>
        </w:tc>
        <w:tc>
          <w:tcPr>
            <w:tcW w:w="4000" w:type="pct"/>
            <w:hideMark/>
          </w:tcPr>
          <w:p w:rsidR="002439AD" w:rsidRDefault="002439AD" w:rsidP="00441C3C">
            <w:pPr>
              <w:rPr>
                <w:rFonts w:eastAsia="Times New Roman"/>
              </w:rPr>
            </w:pPr>
            <w:r>
              <w:rPr>
                <w:rFonts w:eastAsia="Times New Roman"/>
              </w:rPr>
              <w:t>Apologies for absence had been received from David Hall. Rosie Bryson was not present.</w:t>
            </w:r>
            <w:r>
              <w:rPr>
                <w:rFonts w:eastAsia="Times New Roman"/>
              </w:rPr>
              <w:br w:type="page"/>
            </w:r>
            <w:r>
              <w:rPr>
                <w:rFonts w:eastAsia="Times New Roman"/>
              </w:rPr>
              <w:br w:type="page"/>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20.23</w:t>
            </w:r>
          </w:p>
        </w:tc>
        <w:tc>
          <w:tcPr>
            <w:tcW w:w="4000" w:type="pct"/>
            <w:hideMark/>
          </w:tcPr>
          <w:p w:rsidR="002439AD" w:rsidRDefault="002439AD" w:rsidP="00441C3C">
            <w:pPr>
              <w:rPr>
                <w:rFonts w:eastAsia="Times New Roman"/>
              </w:rPr>
            </w:pPr>
            <w:r>
              <w:rPr>
                <w:rFonts w:eastAsia="Times New Roman"/>
                <w:b/>
                <w:bCs/>
                <w:i/>
                <w:iCs/>
              </w:rPr>
              <w:t>Minutes of Previous Meeting</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Decision</w:t>
            </w:r>
          </w:p>
        </w:tc>
        <w:tc>
          <w:tcPr>
            <w:tcW w:w="4000" w:type="pct"/>
            <w:hideMark/>
          </w:tcPr>
          <w:p w:rsidR="002439AD" w:rsidRDefault="002439AD" w:rsidP="00441C3C">
            <w:pPr>
              <w:rPr>
                <w:rFonts w:eastAsia="Times New Roman"/>
              </w:rPr>
            </w:pPr>
            <w:r>
              <w:rPr>
                <w:rFonts w:eastAsia="Times New Roman"/>
              </w:rPr>
              <w:t>The public minutes of the Finance &amp; Resources Committee meeting number 42 held on Tuesday 28 February 2023, published on the extranet, were agreed and signed as a true and correct representation of the meeting.</w:t>
            </w:r>
            <w:r>
              <w:rPr>
                <w:rFonts w:eastAsia="Times New Roman"/>
              </w:rPr>
              <w:br w:type="page"/>
            </w:r>
            <w:r>
              <w:rPr>
                <w:rFonts w:eastAsia="Times New Roman"/>
              </w:rPr>
              <w:br w:type="page"/>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21.23</w:t>
            </w:r>
          </w:p>
        </w:tc>
        <w:tc>
          <w:tcPr>
            <w:tcW w:w="4000" w:type="pct"/>
            <w:hideMark/>
          </w:tcPr>
          <w:p w:rsidR="002439AD" w:rsidRDefault="002439AD" w:rsidP="00441C3C">
            <w:pPr>
              <w:rPr>
                <w:rFonts w:eastAsia="Times New Roman"/>
              </w:rPr>
            </w:pPr>
            <w:r>
              <w:rPr>
                <w:rFonts w:eastAsia="Times New Roman"/>
                <w:b/>
                <w:bCs/>
                <w:i/>
                <w:iCs/>
              </w:rPr>
              <w:t>Declarations of Interest</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Record</w:t>
            </w:r>
          </w:p>
        </w:tc>
        <w:tc>
          <w:tcPr>
            <w:tcW w:w="4000" w:type="pct"/>
            <w:hideMark/>
          </w:tcPr>
          <w:p w:rsidR="002439AD" w:rsidRDefault="002439AD" w:rsidP="00441C3C">
            <w:pPr>
              <w:rPr>
                <w:rFonts w:eastAsia="Times New Roman"/>
              </w:rPr>
            </w:pPr>
            <w:r>
              <w:rPr>
                <w:rFonts w:eastAsia="Times New Roman"/>
              </w:rPr>
              <w:t>There were no declarations of interest made in respect of items on the public agenda.</w:t>
            </w:r>
            <w:r>
              <w:rPr>
                <w:rFonts w:eastAsia="Times New Roman"/>
              </w:rPr>
              <w:br w:type="page"/>
            </w:r>
            <w:r>
              <w:rPr>
                <w:rFonts w:eastAsia="Times New Roman"/>
              </w:rPr>
              <w:br w:type="page"/>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22.23</w:t>
            </w:r>
          </w:p>
        </w:tc>
        <w:tc>
          <w:tcPr>
            <w:tcW w:w="4000" w:type="pct"/>
            <w:hideMark/>
          </w:tcPr>
          <w:p w:rsidR="002439AD" w:rsidRDefault="002439AD" w:rsidP="00441C3C">
            <w:pPr>
              <w:rPr>
                <w:rFonts w:eastAsia="Times New Roman"/>
              </w:rPr>
            </w:pPr>
            <w:r>
              <w:rPr>
                <w:rFonts w:eastAsia="Times New Roman"/>
                <w:b/>
                <w:bCs/>
                <w:i/>
                <w:iCs/>
              </w:rPr>
              <w:t>Strategic Plan Progress Report</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Decision</w:t>
            </w:r>
          </w:p>
        </w:tc>
        <w:tc>
          <w:tcPr>
            <w:tcW w:w="4000" w:type="pct"/>
            <w:hideMark/>
          </w:tcPr>
          <w:p w:rsidR="002439AD" w:rsidRDefault="002439AD" w:rsidP="00441C3C">
            <w:pPr>
              <w:rPr>
                <w:rFonts w:eastAsia="Times New Roman"/>
              </w:rPr>
            </w:pPr>
            <w:r>
              <w:rPr>
                <w:rFonts w:eastAsia="Times New Roman"/>
              </w:rPr>
              <w:t>The Committee considered the Strategic Plan Progress Report for the Finance and Resources Committee. The key performance indicators related to income, the Capital Plan, Human Resources Statistics and Financial Performance. The report was based on the Strategic Goals of People and Sustainability. The majority of performance indicators were above, on or just below target.</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The targets under People related to staff and student satisfaction. The 30 hours CPD for teaching staff stood at 35% was well below the target of 95% although the target would be reviewed for next year. Overall students’ feedback provided strong positive views apart from the use of the virtual learning environment. </w:t>
            </w:r>
          </w:p>
          <w:p w:rsidR="002439AD" w:rsidRDefault="002439AD" w:rsidP="00441C3C">
            <w:pPr>
              <w:rPr>
                <w:rFonts w:eastAsia="Times New Roman"/>
              </w:rPr>
            </w:pPr>
          </w:p>
          <w:p w:rsidR="002439AD" w:rsidRDefault="002439AD" w:rsidP="00441C3C">
            <w:pPr>
              <w:rPr>
                <w:rFonts w:eastAsia="Times New Roman"/>
              </w:rPr>
            </w:pPr>
            <w:r>
              <w:rPr>
                <w:rFonts w:eastAsia="Times New Roman"/>
              </w:rPr>
              <w:lastRenderedPageBreak/>
              <w:br w:type="page"/>
            </w:r>
            <w:r>
              <w:rPr>
                <w:rFonts w:eastAsia="Times New Roman"/>
              </w:rPr>
              <w:br w:type="page"/>
              <w:t xml:space="preserve">The remaining financial indicators were on target apart from HE numbers. Recruitment to FE was above target although this included an increase in subcontracting students. </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The Capital Plan was anticipated to be delivered within target.</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2439AD" w:rsidRDefault="002439AD" w:rsidP="00441C3C">
            <w:pPr>
              <w:rPr>
                <w:rFonts w:eastAsia="Times New Roman"/>
                <w:b/>
                <w:bCs/>
              </w:rPr>
            </w:pPr>
          </w:p>
          <w:p w:rsidR="002439AD" w:rsidRDefault="002439AD" w:rsidP="00441C3C">
            <w:pPr>
              <w:rPr>
                <w:rFonts w:eastAsia="Times New Roman"/>
              </w:rPr>
            </w:pPr>
            <w:r>
              <w:rPr>
                <w:rStyle w:val="Strong"/>
                <w:rFonts w:eastAsia="Times New Roman"/>
              </w:rPr>
              <w:t>That the report be received.</w:t>
            </w:r>
            <w:r>
              <w:rPr>
                <w:rFonts w:eastAsia="Times New Roman"/>
                <w:b/>
                <w:bCs/>
              </w:rPr>
              <w:br w:type="page"/>
            </w:r>
            <w:r>
              <w:rPr>
                <w:rFonts w:eastAsia="Times New Roman"/>
                <w:b/>
                <w:bCs/>
              </w:rPr>
              <w:br w:type="page"/>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lastRenderedPageBreak/>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23.23</w:t>
            </w:r>
          </w:p>
        </w:tc>
        <w:tc>
          <w:tcPr>
            <w:tcW w:w="4000" w:type="pct"/>
            <w:hideMark/>
          </w:tcPr>
          <w:p w:rsidR="002439AD" w:rsidRDefault="002439AD" w:rsidP="00441C3C">
            <w:pPr>
              <w:rPr>
                <w:rFonts w:eastAsia="Times New Roman"/>
              </w:rPr>
            </w:pPr>
            <w:r>
              <w:rPr>
                <w:rFonts w:eastAsia="Times New Roman"/>
                <w:b/>
                <w:bCs/>
                <w:i/>
                <w:iCs/>
              </w:rPr>
              <w:t>Financial Position Statement for the Period Ended 30 April 2023</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Decision</w:t>
            </w:r>
          </w:p>
        </w:tc>
        <w:tc>
          <w:tcPr>
            <w:tcW w:w="4000" w:type="pct"/>
            <w:hideMark/>
          </w:tcPr>
          <w:p w:rsidR="002439AD" w:rsidRDefault="002439AD" w:rsidP="00441C3C">
            <w:pPr>
              <w:rPr>
                <w:rFonts w:eastAsia="Times New Roman"/>
              </w:rPr>
            </w:pPr>
            <w:r>
              <w:rPr>
                <w:rFonts w:eastAsia="Times New Roman"/>
              </w:rPr>
              <w:t xml:space="preserve">The report was presented by the Director of Finance. </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The report included a statement of comprehensive income together with a detailed analysis. The statements showed the actual results for the period up to 30 April 2023, together with the outturn for 2021/2022, the budget for 2022/2023 (revised December 2022), which was approved by the Board in July 2022 and the Forecast for 2023/24. The Balance Sheet, as at the period end was also included together with details of Cash Flow for the year to 30 April 2023 and forecast Cash Flow to July 2023.</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Overall College income was £26.643m against a budget of £26.669m a variance of -26k.</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Surplus income of £75k was £17k behind budget and £62k ahead of forecast.  The actual payroll to income ratio was 59.6% against a target of 55.8% and an original target of 58.31. Cash balances at the period-end were £15.327m compared to a forecast of £14.416m. Cash days stood at 158 days. </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 xml:space="preserve">Ventures departmental accounts showed that the overall margin, excluding the farm, was £1.008k against a forecast of £893k, £115k ahead of target and in a promising position given the challenging circumstances. Including the farm, the margin was £962k against a forecast of £846k, a variance of £116k. The overall margin excluding the farm result was 32% against a target of 26% and 22% including the farm. </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The report included the full details of capital expenditure. This was currently £2.965m against a revised budget of £5.581m, which included the additional funding of £659k from the ESFA.</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The comparison to the FE Commissioner's financial benchmarks remained positive.</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The Financial Health Forecast Grade continued to reflect ‘good’.</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Also considered within the financial report was a farm monitoring report.</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2439AD" w:rsidRDefault="002439AD" w:rsidP="00441C3C">
            <w:pPr>
              <w:rPr>
                <w:rFonts w:eastAsia="Times New Roman"/>
              </w:rPr>
            </w:pPr>
            <w:r>
              <w:rPr>
                <w:rStyle w:val="Strong"/>
                <w:rFonts w:eastAsia="Times New Roman"/>
              </w:rPr>
              <w:lastRenderedPageBreak/>
              <w:t>That the report be received.</w:t>
            </w:r>
            <w:r>
              <w:rPr>
                <w:rFonts w:eastAsia="Times New Roman"/>
                <w:b/>
                <w:bCs/>
              </w:rPr>
              <w:br w:type="page"/>
            </w:r>
            <w:r>
              <w:rPr>
                <w:rFonts w:eastAsia="Times New Roman"/>
                <w:b/>
                <w:bCs/>
              </w:rPr>
              <w:br w:type="page"/>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lastRenderedPageBreak/>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24.23</w:t>
            </w:r>
          </w:p>
        </w:tc>
        <w:tc>
          <w:tcPr>
            <w:tcW w:w="4000" w:type="pct"/>
            <w:hideMark/>
          </w:tcPr>
          <w:p w:rsidR="002439AD" w:rsidRDefault="002439AD" w:rsidP="00441C3C">
            <w:pPr>
              <w:rPr>
                <w:rFonts w:eastAsia="Times New Roman"/>
              </w:rPr>
            </w:pPr>
            <w:r>
              <w:rPr>
                <w:rFonts w:eastAsia="Times New Roman"/>
                <w:b/>
                <w:bCs/>
                <w:i/>
                <w:iCs/>
              </w:rPr>
              <w:t>Student Bursary Fund Allocations 2023/2024</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Decision</w:t>
            </w:r>
          </w:p>
        </w:tc>
        <w:tc>
          <w:tcPr>
            <w:tcW w:w="4000" w:type="pct"/>
            <w:hideMark/>
          </w:tcPr>
          <w:p w:rsidR="002439AD" w:rsidRDefault="002439AD" w:rsidP="00441C3C">
            <w:pPr>
              <w:rPr>
                <w:rFonts w:eastAsia="Times New Roman"/>
              </w:rPr>
            </w:pPr>
            <w:r>
              <w:rPr>
                <w:rFonts w:eastAsia="Times New Roman"/>
              </w:rPr>
              <w:t>The Committee considered the review of the HE Bursary Fund Policy, Procedure and Allocations for 2023/2024.</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The allocations and policy had been compiled in line with ESFA guidance.</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 xml:space="preserve">As part of the allocations from the ESFA for further education students, funds are allocated in order to enable students from low-income households (less than £35k) to access education. Students can request bus passes, meal cards, contributions towards accommodation, tuition fees and other education/living costs. </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Residential applications from non-specialist sports or public services students would continue to be declined. Residential bursaries for specialist sports students were limited to an initial allocation of 55 awards. Should there be an increase in successful applications this could increase but the overall ratio would remain the same.</w:t>
            </w:r>
            <w:r>
              <w:rPr>
                <w:rFonts w:eastAsia="Times New Roman"/>
              </w:rPr>
              <w:br w:type="page"/>
            </w:r>
            <w:r>
              <w:rPr>
                <w:rFonts w:eastAsia="Times New Roman"/>
              </w:rPr>
              <w:br w:type="page"/>
              <w:t xml:space="preserve"> Travel awards, funded to all students, would be increased to 100%, subject to a maximum </w:t>
            </w:r>
            <w:r>
              <w:rPr>
                <w:rFonts w:eastAsia="Times New Roman"/>
              </w:rPr>
              <w:br w:type="page"/>
              <w:t>allocation. Increased award values to be approved. The current FE policies to be re-approved for 2023/24.</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Only minor amendments had been made to the Policy and Procedure from the previous year.</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2439AD" w:rsidRDefault="002439AD" w:rsidP="00441C3C">
            <w:pPr>
              <w:rPr>
                <w:rFonts w:eastAsia="Times New Roman"/>
                <w:b/>
                <w:bCs/>
              </w:rPr>
            </w:pPr>
          </w:p>
          <w:p w:rsidR="002439AD" w:rsidRPr="00790BC6" w:rsidRDefault="002439AD" w:rsidP="00441C3C">
            <w:pPr>
              <w:rPr>
                <w:rStyle w:val="Strong"/>
                <w:rFonts w:eastAsia="Times New Roman"/>
              </w:rPr>
            </w:pPr>
            <w:r w:rsidRPr="00790BC6">
              <w:rPr>
                <w:rStyle w:val="Strong"/>
                <w:rFonts w:eastAsia="Times New Roman"/>
              </w:rPr>
              <w:t xml:space="preserve">1. </w:t>
            </w:r>
            <w:r>
              <w:rPr>
                <w:rStyle w:val="Strong"/>
                <w:rFonts w:eastAsia="Times New Roman"/>
              </w:rPr>
              <w:t xml:space="preserve"> </w:t>
            </w:r>
            <w:r w:rsidRPr="00790BC6">
              <w:rPr>
                <w:rStyle w:val="Strong"/>
                <w:rFonts w:eastAsia="Times New Roman"/>
              </w:rPr>
              <w:t xml:space="preserve">That the Bursary Fund Policy and Procedure be agreed as </w:t>
            </w:r>
          </w:p>
          <w:p w:rsidR="002439AD" w:rsidRPr="00790BC6" w:rsidRDefault="002439AD" w:rsidP="00441C3C">
            <w:pPr>
              <w:rPr>
                <w:rStyle w:val="Strong"/>
                <w:rFonts w:eastAsia="Times New Roman"/>
              </w:rPr>
            </w:pPr>
            <w:r>
              <w:rPr>
                <w:rStyle w:val="Strong"/>
                <w:rFonts w:eastAsia="Times New Roman"/>
              </w:rPr>
              <w:t xml:space="preserve">     </w:t>
            </w:r>
            <w:proofErr w:type="gramStart"/>
            <w:r w:rsidRPr="00790BC6">
              <w:rPr>
                <w:rStyle w:val="Strong"/>
                <w:rFonts w:eastAsia="Times New Roman"/>
              </w:rPr>
              <w:t>remaining</w:t>
            </w:r>
            <w:proofErr w:type="gramEnd"/>
            <w:r w:rsidRPr="00790BC6">
              <w:rPr>
                <w:rStyle w:val="Strong"/>
                <w:rFonts w:eastAsia="Times New Roman"/>
              </w:rPr>
              <w:t xml:space="preserve"> fit for purpose.</w:t>
            </w:r>
          </w:p>
          <w:p w:rsidR="002439AD" w:rsidRDefault="002439AD" w:rsidP="00441C3C">
            <w:pPr>
              <w:rPr>
                <w:rStyle w:val="Strong"/>
                <w:rFonts w:eastAsia="Times New Roman"/>
              </w:rPr>
            </w:pPr>
          </w:p>
          <w:p w:rsidR="002439AD" w:rsidRDefault="002439AD" w:rsidP="00441C3C">
            <w:pPr>
              <w:rPr>
                <w:rFonts w:eastAsia="Times New Roman"/>
              </w:rPr>
            </w:pPr>
            <w:r>
              <w:rPr>
                <w:rFonts w:eastAsia="Times New Roman"/>
                <w:b/>
                <w:bCs/>
              </w:rPr>
              <w:br w:type="page"/>
            </w:r>
            <w:r>
              <w:rPr>
                <w:rFonts w:eastAsia="Times New Roman"/>
                <w:b/>
                <w:bCs/>
              </w:rPr>
              <w:br w:type="page"/>
            </w:r>
            <w:r>
              <w:rPr>
                <w:rStyle w:val="Strong"/>
                <w:rFonts w:eastAsia="Times New Roman"/>
              </w:rPr>
              <w:t>2.  That the proposals and allocations for 2023/2024 be noted.</w:t>
            </w:r>
            <w:r>
              <w:rPr>
                <w:rFonts w:eastAsia="Times New Roman"/>
                <w:b/>
                <w:bCs/>
              </w:rPr>
              <w:br w:type="page"/>
            </w:r>
            <w:r>
              <w:rPr>
                <w:rFonts w:eastAsia="Times New Roman"/>
                <w:b/>
                <w:bCs/>
              </w:rPr>
              <w:br w:type="page"/>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25.23</w:t>
            </w:r>
          </w:p>
        </w:tc>
        <w:tc>
          <w:tcPr>
            <w:tcW w:w="4000" w:type="pct"/>
            <w:hideMark/>
          </w:tcPr>
          <w:p w:rsidR="002439AD" w:rsidRDefault="002439AD" w:rsidP="00441C3C">
            <w:pPr>
              <w:rPr>
                <w:rFonts w:eastAsia="Times New Roman"/>
              </w:rPr>
            </w:pPr>
            <w:r>
              <w:rPr>
                <w:rFonts w:eastAsia="Times New Roman"/>
                <w:b/>
                <w:bCs/>
                <w:i/>
                <w:iCs/>
              </w:rPr>
              <w:t>Strategic Risk Register</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Decision</w:t>
            </w:r>
          </w:p>
        </w:tc>
        <w:tc>
          <w:tcPr>
            <w:tcW w:w="40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9"/>
            </w:tblGrid>
            <w:tr w:rsidR="002439AD" w:rsidTr="00441C3C">
              <w:trPr>
                <w:tblCellSpacing w:w="15" w:type="dxa"/>
              </w:trPr>
              <w:tc>
                <w:tcPr>
                  <w:tcW w:w="0" w:type="auto"/>
                  <w:vAlign w:val="center"/>
                  <w:hideMark/>
                </w:tcPr>
                <w:p w:rsidR="002439AD" w:rsidRDefault="002439AD" w:rsidP="00441C3C">
                  <w:pPr>
                    <w:pStyle w:val="NormalWeb"/>
                    <w:framePr w:hSpace="45" w:wrap="around" w:vAnchor="text" w:hAnchor="text"/>
                  </w:pPr>
                  <w:r>
                    <w:t>The Committee considered the Strategic Risk Report for 2022/2023 as presented by the Deputy Principal, Finance and Corporate Services. Included in the report were references to the risk appetite statement, risk assessment framework and risk heat map.</w:t>
                  </w:r>
                </w:p>
                <w:p w:rsidR="002439AD" w:rsidRDefault="002439AD" w:rsidP="00441C3C">
                  <w:pPr>
                    <w:pStyle w:val="NormalWeb"/>
                    <w:framePr w:hSpace="45" w:wrap="around" w:vAnchor="text" w:hAnchor="text"/>
                  </w:pPr>
                  <w:r>
                    <w:br w:type="page"/>
                  </w:r>
                  <w:r>
                    <w:br w:type="page"/>
                    <w:t>The report identified the top five risks for the College.</w:t>
                  </w:r>
                </w:p>
                <w:p w:rsidR="002439AD" w:rsidRDefault="002439AD" w:rsidP="00441C3C">
                  <w:pPr>
                    <w:pStyle w:val="NormalWeb"/>
                    <w:framePr w:hSpace="45" w:wrap="around" w:vAnchor="text" w:hAnchor="text"/>
                    <w:rPr>
                      <w:b/>
                      <w:bCs/>
                    </w:rPr>
                  </w:pPr>
                  <w:r>
                    <w:br w:type="page"/>
                  </w:r>
                  <w:r>
                    <w:br w:type="page"/>
                  </w:r>
                  <w:r>
                    <w:rPr>
                      <w:rStyle w:val="Strong"/>
                    </w:rPr>
                    <w:t>Resolved:</w:t>
                  </w:r>
                  <w:r>
                    <w:rPr>
                      <w:b/>
                      <w:bCs/>
                    </w:rPr>
                    <w:br w:type="page"/>
                  </w:r>
                  <w:r>
                    <w:rPr>
                      <w:b/>
                      <w:bCs/>
                    </w:rPr>
                    <w:br w:type="page"/>
                  </w:r>
                </w:p>
                <w:p w:rsidR="002439AD" w:rsidRDefault="002439AD" w:rsidP="00441C3C">
                  <w:pPr>
                    <w:pStyle w:val="NormalWeb"/>
                    <w:framePr w:hSpace="45" w:wrap="around" w:vAnchor="text" w:hAnchor="text"/>
                    <w:rPr>
                      <w:b/>
                      <w:bCs/>
                    </w:rPr>
                  </w:pPr>
                  <w:r>
                    <w:rPr>
                      <w:rStyle w:val="Strong"/>
                    </w:rPr>
                    <w:t>That the report be received.</w:t>
                  </w:r>
                  <w:r>
                    <w:rPr>
                      <w:b/>
                      <w:bCs/>
                    </w:rPr>
                    <w:br w:type="page"/>
                  </w:r>
                </w:p>
                <w:p w:rsidR="002439AD" w:rsidRDefault="002439AD" w:rsidP="00441C3C">
                  <w:pPr>
                    <w:pStyle w:val="NormalWeb"/>
                    <w:framePr w:hSpace="45" w:wrap="around" w:vAnchor="text" w:hAnchor="text"/>
                  </w:pPr>
                </w:p>
              </w:tc>
            </w:tr>
          </w:tbl>
          <w:p w:rsidR="002439AD" w:rsidRDefault="002439AD" w:rsidP="00441C3C">
            <w:pPr>
              <w:rPr>
                <w:rFonts w:eastAsia="Times New Roman"/>
              </w:rPr>
            </w:pP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lastRenderedPageBreak/>
              <w:t>26.23</w:t>
            </w:r>
          </w:p>
        </w:tc>
        <w:tc>
          <w:tcPr>
            <w:tcW w:w="4000" w:type="pct"/>
            <w:hideMark/>
          </w:tcPr>
          <w:p w:rsidR="002439AD" w:rsidRDefault="002439AD" w:rsidP="00441C3C">
            <w:pPr>
              <w:rPr>
                <w:rFonts w:eastAsia="Times New Roman"/>
              </w:rPr>
            </w:pPr>
            <w:r>
              <w:rPr>
                <w:rFonts w:eastAsia="Times New Roman"/>
                <w:b/>
                <w:bCs/>
                <w:i/>
                <w:iCs/>
              </w:rPr>
              <w:t>Human Resources for the Period Ended 30 April 2023</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Decision</w:t>
            </w:r>
          </w:p>
        </w:tc>
        <w:tc>
          <w:tcPr>
            <w:tcW w:w="40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9"/>
            </w:tblGrid>
            <w:tr w:rsidR="002439AD" w:rsidTr="00441C3C">
              <w:trPr>
                <w:tblCellSpacing w:w="15" w:type="dxa"/>
              </w:trPr>
              <w:tc>
                <w:tcPr>
                  <w:tcW w:w="0" w:type="auto"/>
                  <w:vAlign w:val="center"/>
                  <w:hideMark/>
                </w:tcPr>
                <w:p w:rsidR="002439AD" w:rsidRDefault="002439AD" w:rsidP="00441C3C">
                  <w:pPr>
                    <w:pStyle w:val="NormalWeb"/>
                    <w:framePr w:hSpace="45" w:wrap="around" w:vAnchor="text" w:hAnchor="text"/>
                    <w:spacing w:before="0" w:beforeAutospacing="0" w:after="0" w:afterAutospacing="0"/>
                  </w:pPr>
                  <w:r>
                    <w:t xml:space="preserve">The Committee considered the above report, which contained analysis of staff turnover, breakdown analysis of leavers, </w:t>
                  </w:r>
                  <w:proofErr w:type="gramStart"/>
                  <w:r>
                    <w:t>staff</w:t>
                  </w:r>
                  <w:proofErr w:type="gramEnd"/>
                  <w:r>
                    <w:t xml:space="preserve"> stability index and staff sickness statistics for the year up to 30 April 2023.</w:t>
                  </w:r>
                </w:p>
                <w:p w:rsidR="002439AD" w:rsidRDefault="002439AD" w:rsidP="00441C3C">
                  <w:pPr>
                    <w:pStyle w:val="NormalWeb"/>
                    <w:framePr w:hSpace="45" w:wrap="around" w:vAnchor="text" w:hAnchor="text"/>
                    <w:spacing w:before="0" w:beforeAutospacing="0" w:after="0" w:afterAutospacing="0"/>
                  </w:pPr>
                </w:p>
              </w:tc>
            </w:tr>
          </w:tbl>
          <w:p w:rsidR="002439AD" w:rsidRDefault="002439AD" w:rsidP="00441C3C">
            <w:pPr>
              <w:rPr>
                <w:rFonts w:eastAsia="Times New Roman"/>
              </w:rPr>
            </w:pPr>
            <w:r>
              <w:rPr>
                <w:rFonts w:eastAsia="Times New Roman"/>
              </w:rPr>
              <w:t>The Committee noted staff turnover – the percentage of workers who leave – was 18.33% for all staff, 17.5% for management staff, 18.05% for teaching staff and 18.69% for support staff. As a comparison during the same period last year, staff turnover was 14.52% for all staff, 4.88% for management staff, 12.30% for teaching staff and 17.40% for support staff.</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Current staff turnover was slightly above the national average for colleges which stood at 17.8%.</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For the last quarter the College supported 133 vacancies, a decrease of 13 compared to the previous quarter.</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Absence was measured by the average number of working days lost per employee and the lost time percentage, which was a measure of the proportion of available working time lost due to absence during the year. The average number of working days lost due to sickness at the College was 5.26 and the lost time percentage was 2.02%. For the same period last year, the average number of working days lost due to sickness at the College was 6.46 and the lost time percentage was 2.48%. </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There were 8 staff absent, long term, at the end of the reporting period compared with 6 at the last reporting period. Sickness absence remained reasonably static in all categories at this time and was within the average for the sector.</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There were a total of 44 new employee relations cases during this period with 30 still on-going from the previous period.</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The service was also assisting with the academic management restructure.</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The report also included details of training being undertaken together with the introduction of wellbeing support for staff.</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2439AD" w:rsidRDefault="002439AD" w:rsidP="00441C3C">
            <w:pPr>
              <w:rPr>
                <w:rFonts w:eastAsia="Times New Roman"/>
                <w:b/>
                <w:bCs/>
              </w:rPr>
            </w:pPr>
          </w:p>
          <w:p w:rsidR="002439AD" w:rsidRDefault="002439AD" w:rsidP="00441C3C">
            <w:pPr>
              <w:rPr>
                <w:rFonts w:eastAsia="Times New Roman"/>
              </w:rPr>
            </w:pPr>
            <w:r>
              <w:rPr>
                <w:rStyle w:val="Strong"/>
                <w:rFonts w:eastAsia="Times New Roman"/>
              </w:rPr>
              <w:t>That the report be received.</w:t>
            </w:r>
            <w:r>
              <w:rPr>
                <w:rFonts w:eastAsia="Times New Roman"/>
              </w:rPr>
              <w:br w:type="page"/>
            </w:r>
            <w:r>
              <w:rPr>
                <w:rFonts w:eastAsia="Times New Roman"/>
              </w:rPr>
              <w:br w:type="page"/>
            </w:r>
          </w:p>
        </w:tc>
      </w:tr>
      <w:tr w:rsidR="002439AD" w:rsidTr="00441C3C">
        <w:trPr>
          <w:tblCellSpacing w:w="15" w:type="dxa"/>
        </w:trPr>
        <w:tc>
          <w:tcPr>
            <w:tcW w:w="5000" w:type="pct"/>
            <w:gridSpan w:val="2"/>
            <w:vAlign w:val="center"/>
            <w:hideMark/>
          </w:tcPr>
          <w:p w:rsidR="002439AD" w:rsidRDefault="002439AD" w:rsidP="00441C3C">
            <w:pPr>
              <w:rPr>
                <w:rFonts w:eastAsia="Times New Roman"/>
              </w:rPr>
            </w:pPr>
            <w:r>
              <w:rPr>
                <w:rFonts w:eastAsia="Times New Roman"/>
              </w:rPr>
              <w:t> </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rPr>
              <w:t>27.23</w:t>
            </w:r>
          </w:p>
        </w:tc>
        <w:tc>
          <w:tcPr>
            <w:tcW w:w="4000" w:type="pct"/>
            <w:hideMark/>
          </w:tcPr>
          <w:p w:rsidR="002439AD" w:rsidRDefault="002439AD" w:rsidP="00441C3C">
            <w:pPr>
              <w:rPr>
                <w:rFonts w:eastAsia="Times New Roman"/>
              </w:rPr>
            </w:pPr>
            <w:r>
              <w:rPr>
                <w:rFonts w:eastAsia="Times New Roman"/>
                <w:b/>
                <w:bCs/>
                <w:i/>
                <w:iCs/>
              </w:rPr>
              <w:t>Health and Safety Report for the Period Ended 30 April 2023</w:t>
            </w:r>
          </w:p>
        </w:tc>
      </w:tr>
      <w:tr w:rsidR="002439AD" w:rsidTr="00441C3C">
        <w:trPr>
          <w:tblCellSpacing w:w="15" w:type="dxa"/>
        </w:trPr>
        <w:tc>
          <w:tcPr>
            <w:tcW w:w="1000" w:type="pct"/>
            <w:hideMark/>
          </w:tcPr>
          <w:p w:rsidR="002439AD" w:rsidRDefault="002439AD" w:rsidP="00441C3C">
            <w:pPr>
              <w:rPr>
                <w:rFonts w:eastAsia="Times New Roman"/>
              </w:rPr>
            </w:pPr>
            <w:r>
              <w:rPr>
                <w:rFonts w:eastAsia="Times New Roman"/>
                <w:b/>
                <w:bCs/>
                <w:i/>
                <w:iCs/>
              </w:rPr>
              <w:t>Decision</w:t>
            </w:r>
          </w:p>
        </w:tc>
        <w:tc>
          <w:tcPr>
            <w:tcW w:w="40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9"/>
            </w:tblGrid>
            <w:tr w:rsidR="002439AD" w:rsidTr="00441C3C">
              <w:trPr>
                <w:tblCellSpacing w:w="15" w:type="dxa"/>
              </w:trPr>
              <w:tc>
                <w:tcPr>
                  <w:tcW w:w="0" w:type="auto"/>
                  <w:vAlign w:val="center"/>
                  <w:hideMark/>
                </w:tcPr>
                <w:p w:rsidR="002439AD" w:rsidRDefault="002439AD" w:rsidP="00441C3C">
                  <w:pPr>
                    <w:pStyle w:val="NormalWeb"/>
                    <w:framePr w:hSpace="45" w:wrap="around" w:vAnchor="text" w:hAnchor="text"/>
                    <w:spacing w:before="0" w:beforeAutospacing="0" w:after="0" w:afterAutospacing="0"/>
                  </w:pPr>
                  <w:r>
                    <w:t xml:space="preserve">Members gave consideration to the Health and Safety Report for the period ended 30 April 2023, which provided an analysis of accident statistics over the period, together with other Health and Safety activities </w:t>
                  </w:r>
                  <w:r>
                    <w:lastRenderedPageBreak/>
                    <w:t>including policy updates, staff training, free health checks, auditing and inspections. </w:t>
                  </w:r>
                </w:p>
                <w:p w:rsidR="002439AD" w:rsidRDefault="002439AD" w:rsidP="00441C3C">
                  <w:pPr>
                    <w:pStyle w:val="NormalWeb"/>
                    <w:framePr w:hSpace="45" w:wrap="around" w:vAnchor="text" w:hAnchor="text"/>
                    <w:spacing w:before="0" w:beforeAutospacing="0" w:after="0" w:afterAutospacing="0"/>
                  </w:pPr>
                </w:p>
              </w:tc>
            </w:tr>
          </w:tbl>
          <w:p w:rsidR="002439AD" w:rsidRDefault="002439AD" w:rsidP="00441C3C">
            <w:pPr>
              <w:rPr>
                <w:rFonts w:eastAsia="Times New Roman"/>
              </w:rPr>
            </w:pPr>
            <w:r>
              <w:rPr>
                <w:rFonts w:eastAsia="Times New Roman"/>
              </w:rPr>
              <w:lastRenderedPageBreak/>
              <w:t>Overall, accidents had decreased from 120 to 96 when compared with the same period last year. However, near misses had increased from 7 to 18. There were 2 RIDDOR reportable accidents during the period making a total of 5 for the year and, at 1.9%, was below the target of less than 2.75%.</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Analysis indicated that the 96 accidents involved 10 staff, 83 students and 3 visitors:</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14 (15%) were taken to hospital - 13 Students, 1 Apprentice and 1 Staff</w:t>
            </w:r>
          </w:p>
          <w:p w:rsidR="002439AD" w:rsidRDefault="002439AD" w:rsidP="00441C3C">
            <w:pPr>
              <w:rPr>
                <w:rFonts w:eastAsia="Times New Roman"/>
              </w:rPr>
            </w:pPr>
          </w:p>
          <w:p w:rsidR="002439AD" w:rsidRDefault="002439AD" w:rsidP="00441C3C">
            <w:pPr>
              <w:rPr>
                <w:rFonts w:eastAsia="Times New Roman"/>
              </w:rPr>
            </w:pPr>
            <w:r>
              <w:rPr>
                <w:rFonts w:eastAsia="Times New Roman"/>
              </w:rPr>
              <w:br w:type="page"/>
            </w:r>
            <w:r>
              <w:rPr>
                <w:rFonts w:eastAsia="Times New Roman"/>
              </w:rPr>
              <w:br w:type="page"/>
              <w:t>55 (57%) received first aid treatment</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27 (28%) needed no treatment</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Fonts w:eastAsia="Times New Roman"/>
              </w:rPr>
            </w:pPr>
            <w:r>
              <w:rPr>
                <w:rFonts w:eastAsia="Times New Roman"/>
              </w:rPr>
              <w:t>There were no areas of significant concern.</w:t>
            </w:r>
            <w:r>
              <w:rPr>
                <w:rFonts w:eastAsia="Times New Roman"/>
              </w:rPr>
              <w:br w:type="page"/>
            </w:r>
            <w:r>
              <w:rPr>
                <w:rFonts w:eastAsia="Times New Roman"/>
              </w:rPr>
              <w:br w:type="page"/>
            </w:r>
          </w:p>
          <w:p w:rsidR="002439AD" w:rsidRDefault="002439AD" w:rsidP="00441C3C">
            <w:pPr>
              <w:rPr>
                <w:rFonts w:eastAsia="Times New Roman"/>
              </w:rPr>
            </w:pPr>
          </w:p>
          <w:p w:rsidR="002439AD" w:rsidRDefault="002439AD" w:rsidP="00441C3C">
            <w:pPr>
              <w:rPr>
                <w:rStyle w:val="Strong"/>
              </w:rPr>
            </w:pPr>
            <w:r>
              <w:rPr>
                <w:rFonts w:eastAsia="Times New Roman"/>
              </w:rPr>
              <w:t>The report included details of recent audits, training and drills.</w:t>
            </w:r>
            <w:r>
              <w:rPr>
                <w:rFonts w:eastAsia="Times New Roman"/>
              </w:rPr>
              <w:br w:type="page"/>
            </w:r>
            <w:r>
              <w:rPr>
                <w:rFonts w:eastAsia="Times New Roman"/>
              </w:rPr>
              <w:br w:type="page"/>
            </w:r>
          </w:p>
          <w:p w:rsidR="002439AD" w:rsidRDefault="002439AD" w:rsidP="00441C3C">
            <w:pPr>
              <w:rPr>
                <w:rStyle w:val="Strong"/>
              </w:rPr>
            </w:pPr>
          </w:p>
          <w:p w:rsidR="002439AD" w:rsidRDefault="002439AD" w:rsidP="00441C3C">
            <w:pPr>
              <w:rPr>
                <w:rStyle w:val="Strong"/>
                <w:rFonts w:eastAsia="Times New Roman"/>
              </w:rPr>
            </w:pPr>
            <w:r>
              <w:rPr>
                <w:rStyle w:val="Strong"/>
              </w:rPr>
              <w:t>R</w:t>
            </w:r>
            <w:r>
              <w:rPr>
                <w:rStyle w:val="Strong"/>
                <w:rFonts w:eastAsia="Times New Roman"/>
              </w:rPr>
              <w:t>esolved:</w:t>
            </w:r>
          </w:p>
          <w:p w:rsidR="002439AD" w:rsidRDefault="002439AD" w:rsidP="00441C3C">
            <w:pPr>
              <w:rPr>
                <w:rStyle w:val="Strong"/>
                <w:rFonts w:eastAsia="Times New Roman"/>
              </w:rPr>
            </w:pPr>
          </w:p>
          <w:p w:rsidR="002439AD" w:rsidRDefault="002439AD" w:rsidP="00441C3C">
            <w:pPr>
              <w:rPr>
                <w:rFonts w:eastAsia="Times New Roman"/>
              </w:rPr>
            </w:pPr>
            <w:r>
              <w:rPr>
                <w:rFonts w:eastAsia="Times New Roman"/>
                <w:b/>
                <w:bCs/>
              </w:rPr>
              <w:br w:type="page"/>
            </w:r>
            <w:r>
              <w:rPr>
                <w:rFonts w:eastAsia="Times New Roman"/>
                <w:b/>
                <w:bCs/>
              </w:rPr>
              <w:br w:type="page"/>
            </w:r>
            <w:r>
              <w:rPr>
                <w:rStyle w:val="Strong"/>
                <w:rFonts w:eastAsia="Times New Roman"/>
              </w:rPr>
              <w:t>That the report be received.</w:t>
            </w:r>
            <w:r>
              <w:rPr>
                <w:rFonts w:eastAsia="Times New Roman"/>
                <w:b/>
                <w:bCs/>
              </w:rPr>
              <w:br w:type="page"/>
            </w:r>
            <w:r>
              <w:rPr>
                <w:rFonts w:eastAsia="Times New Roman"/>
                <w:b/>
                <w:bCs/>
              </w:rPr>
              <w:br w:type="page"/>
            </w:r>
          </w:p>
        </w:tc>
      </w:tr>
    </w:tbl>
    <w:p w:rsidR="00D82279" w:rsidRDefault="00D82279">
      <w:bookmarkStart w:id="0" w:name="_GoBack"/>
      <w:bookmarkEnd w:id="0"/>
    </w:p>
    <w:sectPr w:rsidR="00D82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AD"/>
    <w:rsid w:val="002439AD"/>
    <w:rsid w:val="00D82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10C97-6BB3-44E3-80B8-FAA7BA11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AD"/>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39AD"/>
    <w:pPr>
      <w:spacing w:before="100" w:beforeAutospacing="1" w:after="100" w:afterAutospacing="1"/>
    </w:pPr>
  </w:style>
  <w:style w:type="character" w:styleId="Emphasis">
    <w:name w:val="Emphasis"/>
    <w:basedOn w:val="DefaultParagraphFont"/>
    <w:uiPriority w:val="20"/>
    <w:qFormat/>
    <w:rsid w:val="002439AD"/>
    <w:rPr>
      <w:i/>
      <w:iCs/>
    </w:rPr>
  </w:style>
  <w:style w:type="character" w:styleId="Strong">
    <w:name w:val="Strong"/>
    <w:basedOn w:val="DefaultParagraphFont"/>
    <w:uiPriority w:val="22"/>
    <w:qFormat/>
    <w:rsid w:val="00243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Ron</dc:creator>
  <cp:keywords/>
  <dc:description/>
  <cp:lastModifiedBy>Matthews, Ron</cp:lastModifiedBy>
  <cp:revision>1</cp:revision>
  <dcterms:created xsi:type="dcterms:W3CDTF">2023-11-06T16:02:00Z</dcterms:created>
  <dcterms:modified xsi:type="dcterms:W3CDTF">2023-11-06T16:03:00Z</dcterms:modified>
</cp:coreProperties>
</file>