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A86F" w14:textId="77777777" w:rsidR="00853E0C" w:rsidRDefault="00853E0C" w:rsidP="00853E0C">
      <w:pPr>
        <w:jc w:val="right"/>
        <w:rPr>
          <w:b/>
          <w:color w:val="0070C0"/>
          <w:sz w:val="36"/>
          <w:szCs w:val="36"/>
        </w:rPr>
      </w:pPr>
      <w:r w:rsidRPr="00853E0C">
        <w:rPr>
          <w:noProof/>
          <w:color w:val="0070C0"/>
          <w:sz w:val="36"/>
          <w:szCs w:val="36"/>
          <w:lang w:val="en-US"/>
        </w:rPr>
        <w:drawing>
          <wp:anchor distT="0" distB="0" distL="114300" distR="114300" simplePos="0" relativeHeight="251659264" behindDoc="0" locked="0" layoutInCell="1" allowOverlap="1" wp14:anchorId="6BB7498D" wp14:editId="718DA42D">
            <wp:simplePos x="0" y="0"/>
            <wp:positionH relativeFrom="column">
              <wp:posOffset>-62320</wp:posOffset>
            </wp:positionH>
            <wp:positionV relativeFrom="paragraph">
              <wp:posOffset>-405765</wp:posOffset>
            </wp:positionV>
            <wp:extent cx="2200275" cy="721812"/>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_Logo_Land_colour with strap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0275" cy="721812"/>
                    </a:xfrm>
                    <a:prstGeom prst="rect">
                      <a:avLst/>
                    </a:prstGeom>
                  </pic:spPr>
                </pic:pic>
              </a:graphicData>
            </a:graphic>
            <wp14:sizeRelH relativeFrom="page">
              <wp14:pctWidth>0</wp14:pctWidth>
            </wp14:sizeRelH>
            <wp14:sizeRelV relativeFrom="page">
              <wp14:pctHeight>0</wp14:pctHeight>
            </wp14:sizeRelV>
          </wp:anchor>
        </w:drawing>
      </w:r>
    </w:p>
    <w:p w14:paraId="563A696A" w14:textId="77777777" w:rsidR="00B96C6D" w:rsidRDefault="00B96C6D">
      <w:pPr>
        <w:rPr>
          <w:sz w:val="52"/>
          <w:szCs w:val="52"/>
        </w:rPr>
      </w:pPr>
    </w:p>
    <w:p w14:paraId="19EADF1A" w14:textId="77777777" w:rsidR="004E6C7F" w:rsidRDefault="004E6C7F">
      <w:pPr>
        <w:rPr>
          <w:sz w:val="52"/>
          <w:szCs w:val="52"/>
        </w:rPr>
      </w:pPr>
    </w:p>
    <w:p w14:paraId="627DA8E2" w14:textId="77777777" w:rsidR="004E6C7F" w:rsidRDefault="004E6C7F">
      <w:pPr>
        <w:rPr>
          <w:sz w:val="52"/>
          <w:szCs w:val="52"/>
        </w:rPr>
      </w:pPr>
    </w:p>
    <w:p w14:paraId="09C4C809" w14:textId="77777777" w:rsidR="004E6C7F" w:rsidRDefault="004E6C7F" w:rsidP="004E6C7F">
      <w:pPr>
        <w:jc w:val="center"/>
        <w:rPr>
          <w:b/>
          <w:sz w:val="52"/>
          <w:szCs w:val="52"/>
        </w:rPr>
      </w:pPr>
    </w:p>
    <w:p w14:paraId="5D3AC441" w14:textId="162B32BB" w:rsidR="004E6C7F" w:rsidRDefault="00AC6B47" w:rsidP="004E6C7F">
      <w:pPr>
        <w:jc w:val="center"/>
        <w:rPr>
          <w:b/>
          <w:sz w:val="52"/>
          <w:szCs w:val="52"/>
        </w:rPr>
      </w:pPr>
      <w:r>
        <w:rPr>
          <w:b/>
          <w:sz w:val="52"/>
          <w:szCs w:val="52"/>
        </w:rPr>
        <w:t xml:space="preserve">Educational </w:t>
      </w:r>
      <w:r w:rsidR="001A3844">
        <w:rPr>
          <w:b/>
          <w:sz w:val="52"/>
          <w:szCs w:val="52"/>
        </w:rPr>
        <w:t>Provider</w:t>
      </w:r>
      <w:r w:rsidR="00A60845">
        <w:rPr>
          <w:b/>
          <w:sz w:val="52"/>
          <w:szCs w:val="52"/>
        </w:rPr>
        <w:t>’s</w:t>
      </w:r>
      <w:bookmarkStart w:id="0" w:name="_GoBack"/>
      <w:bookmarkEnd w:id="0"/>
      <w:r w:rsidR="001A3844">
        <w:rPr>
          <w:b/>
          <w:sz w:val="52"/>
          <w:szCs w:val="52"/>
        </w:rPr>
        <w:t xml:space="preserve"> Access Policy</w:t>
      </w:r>
    </w:p>
    <w:p w14:paraId="3287DA4A" w14:textId="77777777" w:rsidR="004E6C7F" w:rsidRDefault="004E6C7F" w:rsidP="00853E0C">
      <w:pPr>
        <w:jc w:val="center"/>
        <w:rPr>
          <w:b/>
          <w:sz w:val="52"/>
          <w:szCs w:val="52"/>
        </w:rPr>
      </w:pPr>
      <w:r>
        <w:rPr>
          <w:b/>
          <w:sz w:val="52"/>
          <w:szCs w:val="52"/>
        </w:rPr>
        <w:t>Policy and Procedure</w:t>
      </w:r>
    </w:p>
    <w:p w14:paraId="20CE1935" w14:textId="77777777" w:rsidR="004E6C7F" w:rsidRDefault="004E6C7F" w:rsidP="004E6C7F">
      <w:pPr>
        <w:jc w:val="center"/>
        <w:rPr>
          <w:b/>
          <w:sz w:val="52"/>
          <w:szCs w:val="52"/>
        </w:rPr>
      </w:pPr>
    </w:p>
    <w:tbl>
      <w:tblPr>
        <w:tblStyle w:val="TableGrid"/>
        <w:tblW w:w="0" w:type="auto"/>
        <w:tblLook w:val="04A0" w:firstRow="1" w:lastRow="0" w:firstColumn="1" w:lastColumn="0" w:noHBand="0" w:noVBand="1"/>
      </w:tblPr>
      <w:tblGrid>
        <w:gridCol w:w="9016"/>
      </w:tblGrid>
      <w:tr w:rsidR="004E6C7F" w14:paraId="6A0260BF" w14:textId="77777777" w:rsidTr="004E6C7F">
        <w:tc>
          <w:tcPr>
            <w:tcW w:w="9016" w:type="dxa"/>
          </w:tcPr>
          <w:p w14:paraId="1DA9D54E" w14:textId="77777777" w:rsidR="004E6C7F" w:rsidRDefault="004E6C7F" w:rsidP="004E6C7F">
            <w:pPr>
              <w:jc w:val="center"/>
              <w:rPr>
                <w:b/>
              </w:rPr>
            </w:pPr>
          </w:p>
          <w:p w14:paraId="1768DD04" w14:textId="3D1B1E58" w:rsidR="004E6C7F" w:rsidRPr="00F62C39" w:rsidRDefault="004C7DF5" w:rsidP="001A3844">
            <w:r w:rsidRPr="00F62C39">
              <w:t xml:space="preserve">This policy </w:t>
            </w:r>
            <w:r w:rsidR="00F62C39">
              <w:t>aims to set out the Colleges arrangements for managing the access of providers to students at Myerscough College.  The purpose of the access is to ensure providers are given the opportunity to provide</w:t>
            </w:r>
            <w:r w:rsidR="00AC6B47">
              <w:t xml:space="preserve"> progression and careers</w:t>
            </w:r>
            <w:r w:rsidR="00F62C39">
              <w:t xml:space="preserve"> information about </w:t>
            </w:r>
            <w:r w:rsidR="00AC6B47">
              <w:t xml:space="preserve">their </w:t>
            </w:r>
            <w:r w:rsidR="00F62C39">
              <w:t>education or training programmes</w:t>
            </w:r>
            <w:r w:rsidR="00AC6B47">
              <w:t xml:space="preserve"> to our learners</w:t>
            </w:r>
            <w:r w:rsidR="00F62C39">
              <w:t>.  The policy covers the student entitlement, the management of access requests and opportunities for access. This complies with the College</w:t>
            </w:r>
            <w:r w:rsidR="00AC6B47">
              <w:t>’</w:t>
            </w:r>
            <w:r w:rsidR="00F62C39">
              <w:t>s legal obligations under section 42B</w:t>
            </w:r>
            <w:r w:rsidR="00B269DA">
              <w:t xml:space="preserve"> </w:t>
            </w:r>
            <w:r w:rsidR="00F62C39">
              <w:t>of the Education Act 1997.</w:t>
            </w:r>
          </w:p>
          <w:p w14:paraId="2CF3A777" w14:textId="77777777" w:rsidR="004E6C7F" w:rsidRDefault="004E6C7F" w:rsidP="004E6C7F">
            <w:pPr>
              <w:jc w:val="center"/>
              <w:rPr>
                <w:b/>
              </w:rPr>
            </w:pPr>
          </w:p>
          <w:p w14:paraId="1A6C3EE0" w14:textId="77777777" w:rsidR="004E6C7F" w:rsidRDefault="004E6C7F" w:rsidP="004E6C7F">
            <w:pPr>
              <w:jc w:val="center"/>
              <w:rPr>
                <w:b/>
              </w:rPr>
            </w:pPr>
          </w:p>
          <w:p w14:paraId="45B4C528" w14:textId="77777777" w:rsidR="004E6C7F" w:rsidRPr="00853E0C" w:rsidRDefault="004E6C7F" w:rsidP="004E6C7F">
            <w:pPr>
              <w:jc w:val="center"/>
              <w:rPr>
                <w:b/>
                <w:color w:val="7030A0"/>
              </w:rPr>
            </w:pPr>
          </w:p>
          <w:p w14:paraId="42FC68B2" w14:textId="77777777" w:rsidR="0041020B" w:rsidRDefault="0041020B" w:rsidP="004E6C7F">
            <w:pPr>
              <w:jc w:val="center"/>
              <w:rPr>
                <w:b/>
              </w:rPr>
            </w:pPr>
          </w:p>
          <w:p w14:paraId="68495458" w14:textId="77777777" w:rsidR="004E6C7F" w:rsidRDefault="004E6C7F" w:rsidP="004E6C7F">
            <w:pPr>
              <w:jc w:val="center"/>
              <w:rPr>
                <w:b/>
              </w:rPr>
            </w:pPr>
          </w:p>
          <w:p w14:paraId="6035B272" w14:textId="77777777" w:rsidR="004E6C7F" w:rsidRDefault="004E6C7F" w:rsidP="004E6C7F">
            <w:pPr>
              <w:jc w:val="center"/>
              <w:rPr>
                <w:b/>
              </w:rPr>
            </w:pPr>
          </w:p>
          <w:p w14:paraId="070BB0A2" w14:textId="77777777" w:rsidR="004E6C7F" w:rsidRDefault="004E6C7F" w:rsidP="004E6C7F">
            <w:pPr>
              <w:jc w:val="center"/>
              <w:rPr>
                <w:b/>
              </w:rPr>
            </w:pPr>
          </w:p>
          <w:p w14:paraId="6683FBEF" w14:textId="77777777" w:rsidR="004E6C7F" w:rsidRDefault="004E6C7F" w:rsidP="004E6C7F">
            <w:pPr>
              <w:jc w:val="center"/>
              <w:rPr>
                <w:b/>
              </w:rPr>
            </w:pPr>
          </w:p>
          <w:p w14:paraId="7064EBCB" w14:textId="77777777" w:rsidR="004E6C7F" w:rsidRDefault="004E6C7F" w:rsidP="004E6C7F">
            <w:pPr>
              <w:jc w:val="center"/>
              <w:rPr>
                <w:b/>
              </w:rPr>
            </w:pPr>
          </w:p>
          <w:p w14:paraId="6AB6C121" w14:textId="77777777" w:rsidR="004E6C7F" w:rsidRDefault="004E6C7F" w:rsidP="004E6C7F">
            <w:pPr>
              <w:jc w:val="center"/>
              <w:rPr>
                <w:b/>
              </w:rPr>
            </w:pPr>
          </w:p>
          <w:p w14:paraId="001C0EE5" w14:textId="77777777" w:rsidR="004E6C7F" w:rsidRDefault="004E6C7F" w:rsidP="004E6C7F">
            <w:pPr>
              <w:jc w:val="center"/>
              <w:rPr>
                <w:b/>
              </w:rPr>
            </w:pPr>
          </w:p>
          <w:p w14:paraId="4F741CFD" w14:textId="77777777" w:rsidR="004E6C7F" w:rsidRDefault="004E6C7F" w:rsidP="004E6C7F">
            <w:pPr>
              <w:jc w:val="center"/>
              <w:rPr>
                <w:b/>
              </w:rPr>
            </w:pPr>
          </w:p>
          <w:p w14:paraId="3488FFC9" w14:textId="77777777" w:rsidR="004E6C7F" w:rsidRDefault="004E6C7F" w:rsidP="004E6C7F">
            <w:pPr>
              <w:jc w:val="center"/>
              <w:rPr>
                <w:b/>
              </w:rPr>
            </w:pPr>
          </w:p>
          <w:p w14:paraId="06C99D23" w14:textId="77777777" w:rsidR="004E6C7F" w:rsidRDefault="004E6C7F" w:rsidP="004E6C7F">
            <w:pPr>
              <w:jc w:val="center"/>
              <w:rPr>
                <w:b/>
              </w:rPr>
            </w:pPr>
          </w:p>
          <w:p w14:paraId="7F9DF664" w14:textId="77777777" w:rsidR="004E6C7F" w:rsidRDefault="00853E0C" w:rsidP="00853E0C">
            <w:pPr>
              <w:tabs>
                <w:tab w:val="left" w:pos="3434"/>
              </w:tabs>
              <w:rPr>
                <w:b/>
              </w:rPr>
            </w:pPr>
            <w:r>
              <w:rPr>
                <w:b/>
              </w:rPr>
              <w:tab/>
            </w:r>
          </w:p>
        </w:tc>
      </w:tr>
    </w:tbl>
    <w:p w14:paraId="78467A7E" w14:textId="77777777" w:rsidR="009913C2" w:rsidRDefault="009913C2" w:rsidP="004E6C7F">
      <w:pPr>
        <w:rPr>
          <w:b/>
          <w:sz w:val="24"/>
          <w:szCs w:val="24"/>
        </w:rPr>
      </w:pPr>
    </w:p>
    <w:p w14:paraId="42D61E52" w14:textId="77777777" w:rsidR="009913C2" w:rsidRDefault="009913C2">
      <w:pPr>
        <w:rPr>
          <w:b/>
          <w:sz w:val="24"/>
          <w:szCs w:val="24"/>
        </w:rPr>
      </w:pPr>
      <w:r>
        <w:rPr>
          <w:b/>
          <w:sz w:val="24"/>
          <w:szCs w:val="24"/>
        </w:rPr>
        <w:br w:type="page"/>
      </w:r>
    </w:p>
    <w:p w14:paraId="2B561505" w14:textId="77777777" w:rsidR="004E6C7F" w:rsidRDefault="004E6C7F" w:rsidP="009913C2">
      <w:pPr>
        <w:rPr>
          <w:b/>
          <w:sz w:val="24"/>
          <w:szCs w:val="24"/>
        </w:rPr>
      </w:pPr>
      <w:r>
        <w:rPr>
          <w:b/>
          <w:sz w:val="24"/>
          <w:szCs w:val="24"/>
        </w:rPr>
        <w:lastRenderedPageBreak/>
        <w:t>Procedure</w:t>
      </w:r>
      <w:r w:rsidR="00853E0C">
        <w:rPr>
          <w:b/>
          <w:sz w:val="24"/>
          <w:szCs w:val="24"/>
        </w:rPr>
        <w:t xml:space="preserve"> </w:t>
      </w:r>
    </w:p>
    <w:p w14:paraId="20712381" w14:textId="138280D7" w:rsidR="004E6C7F" w:rsidRPr="007978A0" w:rsidRDefault="007978A0" w:rsidP="004E6C7F">
      <w:pPr>
        <w:rPr>
          <w:b/>
        </w:rPr>
      </w:pPr>
      <w:r w:rsidRPr="007978A0">
        <w:rPr>
          <w:b/>
        </w:rPr>
        <w:t>Student Entitlement</w:t>
      </w:r>
    </w:p>
    <w:p w14:paraId="249681C8" w14:textId="3B574AB9" w:rsidR="007978A0" w:rsidRDefault="007978A0" w:rsidP="004E6C7F">
      <w:r>
        <w:t>All students in years 12-13</w:t>
      </w:r>
      <w:r w:rsidR="00AC6B47">
        <w:t xml:space="preserve"> at Myerscough</w:t>
      </w:r>
      <w:r>
        <w:t xml:space="preserve"> will be provided with the opportunity to:</w:t>
      </w:r>
    </w:p>
    <w:p w14:paraId="14E64FEC" w14:textId="0CA7952A" w:rsidR="004B7C7A" w:rsidRDefault="007978A0" w:rsidP="004B7C7A">
      <w:pPr>
        <w:pStyle w:val="ListParagraph"/>
        <w:numPr>
          <w:ilvl w:val="0"/>
          <w:numId w:val="2"/>
        </w:numPr>
      </w:pPr>
      <w:r>
        <w:t>Find out about</w:t>
      </w:r>
      <w:r w:rsidR="00AC6B47">
        <w:t xml:space="preserve"> alternative</w:t>
      </w:r>
      <w:r>
        <w:t xml:space="preserve"> technical education </w:t>
      </w:r>
      <w:r w:rsidR="00B269DA">
        <w:t>qualifications and apprenticeship opportunities. This is supported through Myerscough C</w:t>
      </w:r>
      <w:r w:rsidR="00AC6B47">
        <w:t>olleges Learn 2 Work programme which provides information on</w:t>
      </w:r>
      <w:r w:rsidR="00B269DA">
        <w:t xml:space="preserve"> the full range of education and training options available at each transition stage.</w:t>
      </w:r>
    </w:p>
    <w:p w14:paraId="321A3EE8" w14:textId="2964D761" w:rsidR="004B7C7A" w:rsidRDefault="0007218A" w:rsidP="004B7C7A">
      <w:pPr>
        <w:pStyle w:val="ListParagraph"/>
        <w:numPr>
          <w:ilvl w:val="0"/>
          <w:numId w:val="2"/>
        </w:numPr>
      </w:pPr>
      <w:r>
        <w:t>H</w:t>
      </w:r>
      <w:r w:rsidR="004B7C7A">
        <w:t>ear from a range of local providers about opportunities they offer. Including technical education, higher education and apprenticeship routes through Careers events, talks and the Learn 2 Work programme.</w:t>
      </w:r>
    </w:p>
    <w:p w14:paraId="04F62DA7" w14:textId="687E581F" w:rsidR="004B7C7A" w:rsidRDefault="0007218A" w:rsidP="004B7C7A">
      <w:pPr>
        <w:pStyle w:val="ListParagraph"/>
        <w:numPr>
          <w:ilvl w:val="0"/>
          <w:numId w:val="2"/>
        </w:numPr>
      </w:pPr>
      <w:r>
        <w:t>Understand</w:t>
      </w:r>
      <w:r w:rsidR="004B7C7A">
        <w:t xml:space="preserve"> the process on how to make applications for the full range of options available.</w:t>
      </w:r>
    </w:p>
    <w:p w14:paraId="5114CE45" w14:textId="77777777" w:rsidR="004B7C7A" w:rsidRDefault="004B7C7A" w:rsidP="004B7C7A">
      <w:pPr>
        <w:pStyle w:val="ListParagraph"/>
      </w:pPr>
    </w:p>
    <w:p w14:paraId="2713B1C5" w14:textId="4B6B9E42" w:rsidR="004B7C7A" w:rsidRPr="004B7C7A" w:rsidRDefault="004B7C7A" w:rsidP="004E6C7F">
      <w:pPr>
        <w:rPr>
          <w:b/>
        </w:rPr>
      </w:pPr>
      <w:r w:rsidRPr="004B7C7A">
        <w:rPr>
          <w:b/>
        </w:rPr>
        <w:t>The Management of Provider Access Requests</w:t>
      </w:r>
    </w:p>
    <w:p w14:paraId="1142AAB4" w14:textId="6518AD95" w:rsidR="004B7C7A" w:rsidRDefault="004B7C7A" w:rsidP="004E6C7F">
      <w:r>
        <w:t xml:space="preserve"> </w:t>
      </w:r>
      <w:r w:rsidR="007163A4">
        <w:t>Procedure</w:t>
      </w:r>
    </w:p>
    <w:p w14:paraId="7EC815F3" w14:textId="74650649" w:rsidR="007163A4" w:rsidRDefault="007163A4" w:rsidP="004E6C7F">
      <w:pPr>
        <w:rPr>
          <w:color w:val="FF0000"/>
        </w:rPr>
      </w:pPr>
      <w:r>
        <w:t>A provider wishing access must request access through Bernard Pendleton, Director of Student Support</w:t>
      </w:r>
      <w:r w:rsidR="0007218A">
        <w:t xml:space="preserve"> and welfare</w:t>
      </w:r>
      <w:r>
        <w:t xml:space="preserve">. Telephone 01995 642205. Email </w:t>
      </w:r>
      <w:hyperlink r:id="rId9" w:history="1">
        <w:r w:rsidRPr="00DA3FD0">
          <w:rPr>
            <w:rStyle w:val="Hyperlink"/>
          </w:rPr>
          <w:t>bpendleton@myerscough.ac.uk</w:t>
        </w:r>
      </w:hyperlink>
      <w:r w:rsidRPr="007163A4">
        <w:rPr>
          <w:color w:val="FF0000"/>
        </w:rPr>
        <w:t xml:space="preserve"> </w:t>
      </w:r>
    </w:p>
    <w:p w14:paraId="5EB65AAD" w14:textId="1E66C5CE" w:rsidR="00DA33A8" w:rsidRPr="00DA33A8" w:rsidRDefault="00DA33A8" w:rsidP="004E6C7F">
      <w:pPr>
        <w:rPr>
          <w:b/>
        </w:rPr>
      </w:pPr>
      <w:r w:rsidRPr="00DA33A8">
        <w:rPr>
          <w:b/>
        </w:rPr>
        <w:t>Opportunities for Access</w:t>
      </w:r>
    </w:p>
    <w:p w14:paraId="2F6BD8AB" w14:textId="48231B7F" w:rsidR="004E6C7F" w:rsidRDefault="00DA33A8" w:rsidP="004E6C7F">
      <w:pPr>
        <w:rPr>
          <w:sz w:val="24"/>
          <w:szCs w:val="24"/>
        </w:rPr>
      </w:pPr>
      <w:r w:rsidRPr="00DA33A8">
        <w:rPr>
          <w:sz w:val="24"/>
          <w:szCs w:val="24"/>
        </w:rPr>
        <w:t>A number</w:t>
      </w:r>
      <w:r>
        <w:rPr>
          <w:sz w:val="24"/>
          <w:szCs w:val="24"/>
        </w:rPr>
        <w:t xml:space="preserve"> of events integrated into the c</w:t>
      </w:r>
      <w:r w:rsidRPr="00DA33A8">
        <w:rPr>
          <w:sz w:val="24"/>
          <w:szCs w:val="24"/>
        </w:rPr>
        <w:t>areers education programme at Myerscough College</w:t>
      </w:r>
      <w:r>
        <w:rPr>
          <w:sz w:val="24"/>
          <w:szCs w:val="24"/>
        </w:rPr>
        <w:t xml:space="preserve"> will offer provide</w:t>
      </w:r>
      <w:r w:rsidR="005E609B">
        <w:rPr>
          <w:sz w:val="24"/>
          <w:szCs w:val="24"/>
        </w:rPr>
        <w:t>rs an opportunity to come into C</w:t>
      </w:r>
      <w:r>
        <w:rPr>
          <w:sz w:val="24"/>
          <w:szCs w:val="24"/>
        </w:rPr>
        <w:t>ollege to speak to students/parents/ Carers.</w:t>
      </w:r>
    </w:p>
    <w:p w14:paraId="7C202293" w14:textId="789039D1" w:rsidR="00DA33A8" w:rsidRDefault="00DA33A8" w:rsidP="004E6C7F">
      <w:pPr>
        <w:rPr>
          <w:sz w:val="24"/>
          <w:szCs w:val="24"/>
        </w:rPr>
      </w:pPr>
      <w:r>
        <w:rPr>
          <w:sz w:val="24"/>
          <w:szCs w:val="24"/>
        </w:rPr>
        <w:t>Wellbeing Fair – Term 1</w:t>
      </w:r>
    </w:p>
    <w:p w14:paraId="6661F717" w14:textId="05E2B879" w:rsidR="00DA33A8" w:rsidRPr="005E609B" w:rsidRDefault="00DA33A8" w:rsidP="004E6C7F">
      <w:pPr>
        <w:rPr>
          <w:sz w:val="24"/>
          <w:szCs w:val="24"/>
        </w:rPr>
      </w:pPr>
      <w:r w:rsidRPr="005E609B">
        <w:rPr>
          <w:sz w:val="24"/>
          <w:szCs w:val="24"/>
        </w:rPr>
        <w:t>Departmental Career Fairs</w:t>
      </w:r>
    </w:p>
    <w:p w14:paraId="41F57D50" w14:textId="37F1D9F5" w:rsidR="00DA33A8" w:rsidRDefault="00DA33A8" w:rsidP="004E6C7F">
      <w:pPr>
        <w:rPr>
          <w:sz w:val="24"/>
          <w:szCs w:val="24"/>
        </w:rPr>
      </w:pPr>
      <w:r>
        <w:rPr>
          <w:sz w:val="24"/>
          <w:szCs w:val="24"/>
        </w:rPr>
        <w:t>Talks in Tutorial time - Term Time</w:t>
      </w:r>
    </w:p>
    <w:p w14:paraId="18856693" w14:textId="2F9DE5A8" w:rsidR="00DA33A8" w:rsidRDefault="00DA33A8" w:rsidP="004E6C7F">
      <w:pPr>
        <w:rPr>
          <w:sz w:val="24"/>
          <w:szCs w:val="24"/>
        </w:rPr>
      </w:pPr>
      <w:r>
        <w:rPr>
          <w:sz w:val="24"/>
          <w:szCs w:val="24"/>
        </w:rPr>
        <w:t>Supported Employment Fair – Term 2</w:t>
      </w:r>
    </w:p>
    <w:p w14:paraId="578036E5" w14:textId="4381BE39" w:rsidR="005E609B" w:rsidRPr="00DA33A8" w:rsidRDefault="005E609B" w:rsidP="004E6C7F">
      <w:pPr>
        <w:rPr>
          <w:sz w:val="24"/>
          <w:szCs w:val="24"/>
        </w:rPr>
      </w:pPr>
      <w:r>
        <w:rPr>
          <w:sz w:val="24"/>
          <w:szCs w:val="24"/>
        </w:rPr>
        <w:t>Parents Evenings</w:t>
      </w:r>
    </w:p>
    <w:p w14:paraId="5763D290" w14:textId="33EE4A68" w:rsidR="004E6C7F" w:rsidRDefault="00DA33A8" w:rsidP="004E6C7F">
      <w:pPr>
        <w:rPr>
          <w:sz w:val="24"/>
          <w:szCs w:val="24"/>
        </w:rPr>
      </w:pPr>
      <w:r w:rsidRPr="001C2FDB">
        <w:rPr>
          <w:sz w:val="24"/>
          <w:szCs w:val="24"/>
        </w:rPr>
        <w:t xml:space="preserve">Please speak to Bernard Pendleton </w:t>
      </w:r>
      <w:r w:rsidR="001C2FDB" w:rsidRPr="001C2FDB">
        <w:rPr>
          <w:sz w:val="24"/>
          <w:szCs w:val="24"/>
        </w:rPr>
        <w:t>to identify the most suitable opportunity for you.</w:t>
      </w:r>
    </w:p>
    <w:p w14:paraId="57A94914" w14:textId="7851D05C" w:rsidR="001C2FDB" w:rsidRPr="001C2FDB" w:rsidRDefault="001C2FDB" w:rsidP="004E6C7F">
      <w:pPr>
        <w:rPr>
          <w:b/>
          <w:sz w:val="24"/>
          <w:szCs w:val="24"/>
        </w:rPr>
      </w:pPr>
      <w:r w:rsidRPr="001C2FDB">
        <w:rPr>
          <w:b/>
          <w:sz w:val="24"/>
          <w:szCs w:val="24"/>
        </w:rPr>
        <w:t>Premises and Facilities</w:t>
      </w:r>
    </w:p>
    <w:p w14:paraId="33811C0F" w14:textId="77777777" w:rsidR="001C2FDB" w:rsidRDefault="001C2FDB" w:rsidP="004E6C7F">
      <w:pPr>
        <w:rPr>
          <w:sz w:val="24"/>
          <w:szCs w:val="24"/>
        </w:rPr>
      </w:pPr>
      <w:r>
        <w:rPr>
          <w:sz w:val="24"/>
          <w:szCs w:val="24"/>
        </w:rPr>
        <w:t xml:space="preserve">The College will make the Lecture Theatre or classrooms available for discussions between providers and students as appropriate to the activity. The College will make available specialist equipment to support the provider presentations. This will be discussed and agreed in advance. </w:t>
      </w:r>
    </w:p>
    <w:p w14:paraId="16E6F2B1" w14:textId="3E55F0C7" w:rsidR="001C19D6" w:rsidRPr="001C2FDB" w:rsidRDefault="001C2FDB">
      <w:pPr>
        <w:rPr>
          <w:sz w:val="24"/>
          <w:szCs w:val="24"/>
        </w:rPr>
      </w:pPr>
      <w:r>
        <w:rPr>
          <w:sz w:val="24"/>
          <w:szCs w:val="24"/>
        </w:rPr>
        <w:t>Providers are welcome to leave prospectus or career literature in The Core’s career area which is managed by the Careers Support Officer and is available to students 8:00am – 5:00pm Monday – Thursday and 8:00am – 4:30pm on Fridays.</w:t>
      </w:r>
    </w:p>
    <w:p w14:paraId="50818E38" w14:textId="77777777" w:rsidR="001C2FDB" w:rsidRDefault="001C2FDB">
      <w:pPr>
        <w:rPr>
          <w:b/>
        </w:rPr>
      </w:pPr>
    </w:p>
    <w:p w14:paraId="34F92B7F" w14:textId="72C37C39" w:rsidR="00B15FED" w:rsidRDefault="00B15FED">
      <w:pPr>
        <w:rPr>
          <w:b/>
        </w:rPr>
      </w:pPr>
      <w:r w:rsidRPr="00B15FED">
        <w:rPr>
          <w:b/>
        </w:rPr>
        <w:t>Documents Associated with this Policy</w:t>
      </w:r>
    </w:p>
    <w:p w14:paraId="56066DA5" w14:textId="7BAE5161" w:rsidR="00B15FED" w:rsidRDefault="00DA33A8">
      <w:pPr>
        <w:rPr>
          <w:b/>
        </w:rPr>
      </w:pPr>
      <w:r>
        <w:rPr>
          <w:b/>
        </w:rPr>
        <w:lastRenderedPageBreak/>
        <w:t>Learn 2 Work Strategy</w:t>
      </w:r>
    </w:p>
    <w:p w14:paraId="6974F10B" w14:textId="221F3EBA" w:rsidR="00DA33A8" w:rsidRPr="005E609B" w:rsidRDefault="00DA33A8">
      <w:pPr>
        <w:rPr>
          <w:b/>
        </w:rPr>
      </w:pPr>
      <w:r w:rsidRPr="005E609B">
        <w:rPr>
          <w:b/>
        </w:rPr>
        <w:t>IAG Policy and Procedure</w:t>
      </w:r>
    </w:p>
    <w:p w14:paraId="23B61CF2" w14:textId="0881AC36" w:rsidR="00DA33A8" w:rsidRPr="005E609B" w:rsidRDefault="00DA33A8">
      <w:pPr>
        <w:rPr>
          <w:b/>
        </w:rPr>
      </w:pPr>
      <w:r w:rsidRPr="005E609B">
        <w:rPr>
          <w:b/>
        </w:rPr>
        <w:t>Careers SAR</w:t>
      </w:r>
    </w:p>
    <w:p w14:paraId="71B84225" w14:textId="2FB74947" w:rsidR="00DA33A8" w:rsidRPr="005E609B" w:rsidRDefault="00DA33A8">
      <w:pPr>
        <w:rPr>
          <w:b/>
        </w:rPr>
      </w:pPr>
      <w:r w:rsidRPr="005E609B">
        <w:rPr>
          <w:b/>
        </w:rPr>
        <w:t>IAG SAR</w:t>
      </w:r>
    </w:p>
    <w:p w14:paraId="582FD7A2" w14:textId="77777777" w:rsidR="00DA33A8" w:rsidRDefault="00DA33A8">
      <w:pPr>
        <w:rPr>
          <w:b/>
        </w:rPr>
      </w:pPr>
    </w:p>
    <w:p w14:paraId="32DA2855" w14:textId="77777777" w:rsidR="00DA33A8" w:rsidRDefault="00DA33A8">
      <w:pPr>
        <w:rPr>
          <w:b/>
        </w:rPr>
      </w:pPr>
    </w:p>
    <w:p w14:paraId="4FA929DC" w14:textId="77777777" w:rsidR="00B15FED" w:rsidRDefault="00B15FED">
      <w:pPr>
        <w:rPr>
          <w:b/>
        </w:rPr>
      </w:pPr>
    </w:p>
    <w:p w14:paraId="27B7AB60" w14:textId="77777777" w:rsidR="004E6C7F" w:rsidRPr="00B15FED" w:rsidRDefault="00B15FED">
      <w:pPr>
        <w:rPr>
          <w:b/>
          <w:sz w:val="24"/>
          <w:szCs w:val="24"/>
        </w:rPr>
      </w:pPr>
      <w:r>
        <w:rPr>
          <w:b/>
        </w:rPr>
        <w:t>Appendices</w:t>
      </w:r>
      <w:r w:rsidR="004E6C7F" w:rsidRPr="00B15FED">
        <w:rPr>
          <w:b/>
          <w:sz w:val="24"/>
          <w:szCs w:val="24"/>
        </w:rPr>
        <w:br w:type="page"/>
      </w:r>
    </w:p>
    <w:tbl>
      <w:tblPr>
        <w:tblStyle w:val="TableGrid"/>
        <w:tblW w:w="8689" w:type="dxa"/>
        <w:tblInd w:w="360" w:type="dxa"/>
        <w:tblLook w:val="04A0" w:firstRow="1" w:lastRow="0" w:firstColumn="1" w:lastColumn="0" w:noHBand="0" w:noVBand="1"/>
      </w:tblPr>
      <w:tblGrid>
        <w:gridCol w:w="2369"/>
        <w:gridCol w:w="2107"/>
        <w:gridCol w:w="2101"/>
        <w:gridCol w:w="2112"/>
      </w:tblGrid>
      <w:tr w:rsidR="004E6C7F" w:rsidRPr="00487F35" w14:paraId="0A3918D0" w14:textId="77777777" w:rsidTr="00C70497">
        <w:tc>
          <w:tcPr>
            <w:tcW w:w="8689" w:type="dxa"/>
            <w:gridSpan w:val="4"/>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AEAAAA" w:themeFill="background2" w:themeFillShade="BF"/>
          </w:tcPr>
          <w:p w14:paraId="4C363C2B" w14:textId="77777777" w:rsidR="004E6C7F" w:rsidRPr="008D6D4C" w:rsidRDefault="004E6C7F" w:rsidP="00A42D12">
            <w:pPr>
              <w:jc w:val="both"/>
              <w:rPr>
                <w:rFonts w:cstheme="minorHAnsi"/>
                <w:sz w:val="12"/>
                <w:szCs w:val="12"/>
              </w:rPr>
            </w:pPr>
          </w:p>
          <w:p w14:paraId="57AF2399" w14:textId="77777777" w:rsidR="004E6C7F" w:rsidRPr="00487F35" w:rsidRDefault="004E6C7F" w:rsidP="00A42D12">
            <w:pPr>
              <w:jc w:val="both"/>
              <w:rPr>
                <w:rFonts w:cstheme="minorHAnsi"/>
                <w:b/>
              </w:rPr>
            </w:pPr>
            <w:r w:rsidRPr="00487F35">
              <w:rPr>
                <w:rFonts w:cstheme="minorHAnsi"/>
                <w:b/>
              </w:rPr>
              <w:t>Document History</w:t>
            </w:r>
          </w:p>
          <w:p w14:paraId="74F58696" w14:textId="77777777" w:rsidR="004E6C7F" w:rsidRPr="008D6D4C" w:rsidRDefault="004E6C7F" w:rsidP="00A42D12">
            <w:pPr>
              <w:jc w:val="both"/>
              <w:rPr>
                <w:rFonts w:cstheme="minorHAnsi"/>
                <w:sz w:val="12"/>
                <w:szCs w:val="12"/>
              </w:rPr>
            </w:pPr>
          </w:p>
        </w:tc>
      </w:tr>
      <w:tr w:rsidR="004E6C7F" w:rsidRPr="00487F35" w14:paraId="69B15478" w14:textId="77777777" w:rsidTr="00C70497">
        <w:tc>
          <w:tcPr>
            <w:tcW w:w="2369"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4B79A1D4" w14:textId="77777777" w:rsidR="004E6C7F" w:rsidRPr="00487F35" w:rsidRDefault="004E6C7F" w:rsidP="00A42D12">
            <w:pPr>
              <w:jc w:val="both"/>
              <w:rPr>
                <w:rFonts w:cstheme="minorHAnsi"/>
              </w:rPr>
            </w:pPr>
          </w:p>
          <w:p w14:paraId="144219AF" w14:textId="77777777" w:rsidR="004E6C7F" w:rsidRPr="00487F35" w:rsidRDefault="004E6C7F" w:rsidP="00A42D12">
            <w:pPr>
              <w:jc w:val="both"/>
              <w:rPr>
                <w:rFonts w:cstheme="minorHAnsi"/>
                <w:b/>
              </w:rPr>
            </w:pPr>
            <w:r w:rsidRPr="00487F35">
              <w:rPr>
                <w:rFonts w:cstheme="minorHAnsi"/>
                <w:b/>
              </w:rPr>
              <w:t>Author:</w:t>
            </w:r>
          </w:p>
        </w:tc>
        <w:tc>
          <w:tcPr>
            <w:tcW w:w="2107"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46E015FB" w14:textId="77777777" w:rsidR="004E6C7F" w:rsidRDefault="004E6C7F" w:rsidP="00A42D12">
            <w:pPr>
              <w:rPr>
                <w:rFonts w:cstheme="minorHAnsi"/>
              </w:rPr>
            </w:pPr>
          </w:p>
          <w:p w14:paraId="1DB81BFF" w14:textId="77777777" w:rsidR="004E6C7F" w:rsidRPr="00487F35" w:rsidRDefault="004E6C7F" w:rsidP="00A42D12">
            <w:pPr>
              <w:rPr>
                <w:rFonts w:cstheme="minorHAnsi"/>
              </w:rPr>
            </w:pPr>
          </w:p>
        </w:tc>
        <w:tc>
          <w:tcPr>
            <w:tcW w:w="2101"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3B16C8FF" w14:textId="77777777" w:rsidR="004E6C7F" w:rsidRPr="00487F35" w:rsidRDefault="004E6C7F" w:rsidP="00A42D12">
            <w:pPr>
              <w:rPr>
                <w:rFonts w:cstheme="minorHAnsi"/>
                <w:b/>
              </w:rPr>
            </w:pPr>
          </w:p>
          <w:p w14:paraId="7429C3C9" w14:textId="77777777" w:rsidR="004E6C7F" w:rsidRPr="00487F35" w:rsidRDefault="004E6C7F" w:rsidP="00A42D12">
            <w:pPr>
              <w:rPr>
                <w:rFonts w:cstheme="minorHAnsi"/>
                <w:b/>
              </w:rPr>
            </w:pPr>
            <w:r w:rsidRPr="00487F35">
              <w:rPr>
                <w:rFonts w:cstheme="minorHAnsi"/>
                <w:b/>
              </w:rPr>
              <w:t>Ref and Document Version:</w:t>
            </w:r>
          </w:p>
        </w:tc>
        <w:tc>
          <w:tcPr>
            <w:tcW w:w="2112"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0148FE78" w14:textId="77777777" w:rsidR="004E6C7F" w:rsidRDefault="004E6C7F" w:rsidP="00A42D12">
            <w:pPr>
              <w:rPr>
                <w:rFonts w:cstheme="minorHAnsi"/>
              </w:rPr>
            </w:pPr>
          </w:p>
          <w:p w14:paraId="6856EC3A" w14:textId="77777777" w:rsidR="004E6C7F" w:rsidRPr="00487F35" w:rsidRDefault="004E6C7F" w:rsidP="00A42D12">
            <w:pPr>
              <w:rPr>
                <w:rFonts w:cstheme="minorHAnsi"/>
              </w:rPr>
            </w:pPr>
          </w:p>
        </w:tc>
      </w:tr>
      <w:tr w:rsidR="004E6C7F" w:rsidRPr="00487F35" w14:paraId="06C2F980" w14:textId="77777777" w:rsidTr="00C70497">
        <w:tc>
          <w:tcPr>
            <w:tcW w:w="2369"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53027E5F" w14:textId="77777777" w:rsidR="004E6C7F" w:rsidRPr="00487F35" w:rsidRDefault="004E6C7F" w:rsidP="00A42D12">
            <w:pPr>
              <w:jc w:val="both"/>
              <w:rPr>
                <w:rFonts w:cstheme="minorHAnsi"/>
              </w:rPr>
            </w:pPr>
          </w:p>
          <w:p w14:paraId="21B6E93E" w14:textId="77777777" w:rsidR="004E6C7F" w:rsidRDefault="004E6C7F" w:rsidP="00A42D12">
            <w:pPr>
              <w:jc w:val="both"/>
              <w:rPr>
                <w:rFonts w:cstheme="minorHAnsi"/>
                <w:b/>
              </w:rPr>
            </w:pPr>
            <w:r w:rsidRPr="00487F35">
              <w:rPr>
                <w:rFonts w:cstheme="minorHAnsi"/>
                <w:b/>
              </w:rPr>
              <w:t>Approval:</w:t>
            </w:r>
          </w:p>
          <w:p w14:paraId="011EA421" w14:textId="77777777" w:rsidR="004E6C7F" w:rsidRPr="00487F35" w:rsidRDefault="004E6C7F" w:rsidP="00A42D12">
            <w:pPr>
              <w:jc w:val="both"/>
              <w:rPr>
                <w:rFonts w:cstheme="minorHAnsi"/>
                <w:b/>
              </w:rPr>
            </w:pPr>
          </w:p>
        </w:tc>
        <w:tc>
          <w:tcPr>
            <w:tcW w:w="2107"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0F8B26BC" w14:textId="77777777" w:rsidR="004E6C7F" w:rsidRDefault="004E6C7F" w:rsidP="00A42D12">
            <w:pPr>
              <w:jc w:val="both"/>
              <w:rPr>
                <w:rFonts w:cstheme="minorHAnsi"/>
              </w:rPr>
            </w:pPr>
          </w:p>
          <w:p w14:paraId="6859BC3C" w14:textId="77777777" w:rsidR="004E6C7F" w:rsidRPr="00487F35" w:rsidRDefault="004E6C7F" w:rsidP="00A42D12">
            <w:pPr>
              <w:jc w:val="both"/>
              <w:rPr>
                <w:rFonts w:cstheme="minorHAnsi"/>
              </w:rPr>
            </w:pPr>
          </w:p>
        </w:tc>
        <w:tc>
          <w:tcPr>
            <w:tcW w:w="2101"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55972924" w14:textId="77777777" w:rsidR="004E6C7F" w:rsidRPr="00487F35" w:rsidRDefault="004E6C7F" w:rsidP="00A42D12">
            <w:pPr>
              <w:jc w:val="both"/>
              <w:rPr>
                <w:rFonts w:cstheme="minorHAnsi"/>
                <w:b/>
              </w:rPr>
            </w:pPr>
          </w:p>
          <w:p w14:paraId="23123C6C" w14:textId="77777777" w:rsidR="004E6C7F" w:rsidRPr="00487F35" w:rsidRDefault="004E6C7F" w:rsidP="00A42D12">
            <w:pPr>
              <w:jc w:val="both"/>
              <w:rPr>
                <w:rFonts w:cstheme="minorHAnsi"/>
                <w:b/>
              </w:rPr>
            </w:pPr>
            <w:r w:rsidRPr="00487F35">
              <w:rPr>
                <w:rFonts w:cstheme="minorHAnsi"/>
                <w:b/>
              </w:rPr>
              <w:t>Approval Date:</w:t>
            </w:r>
          </w:p>
        </w:tc>
        <w:tc>
          <w:tcPr>
            <w:tcW w:w="2112"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0DA4B5C2" w14:textId="77777777" w:rsidR="004E6C7F" w:rsidRDefault="004E6C7F" w:rsidP="00A42D12">
            <w:pPr>
              <w:jc w:val="both"/>
              <w:rPr>
                <w:rFonts w:cstheme="minorHAnsi"/>
              </w:rPr>
            </w:pPr>
          </w:p>
          <w:p w14:paraId="02DD81A3" w14:textId="5BC2B06F" w:rsidR="004E6C7F" w:rsidRPr="00487F35" w:rsidRDefault="004E6C7F" w:rsidP="00A42D12">
            <w:pPr>
              <w:jc w:val="both"/>
              <w:rPr>
                <w:rFonts w:cstheme="minorHAnsi"/>
              </w:rPr>
            </w:pPr>
          </w:p>
        </w:tc>
      </w:tr>
      <w:tr w:rsidR="004E6C7F" w:rsidRPr="00487F35" w14:paraId="1844239A" w14:textId="77777777" w:rsidTr="00C70497">
        <w:tc>
          <w:tcPr>
            <w:tcW w:w="2369"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00EA4839" w14:textId="77777777" w:rsidR="004E6C7F" w:rsidRPr="00487F35" w:rsidRDefault="004E6C7F" w:rsidP="00A42D12">
            <w:pPr>
              <w:jc w:val="both"/>
              <w:rPr>
                <w:rFonts w:cstheme="minorHAnsi"/>
                <w:b/>
              </w:rPr>
            </w:pPr>
          </w:p>
          <w:p w14:paraId="36E156F7" w14:textId="77777777" w:rsidR="004E6C7F" w:rsidRDefault="004E6C7F" w:rsidP="00A42D12">
            <w:pPr>
              <w:jc w:val="both"/>
              <w:rPr>
                <w:rFonts w:cstheme="minorHAnsi"/>
                <w:b/>
              </w:rPr>
            </w:pPr>
            <w:r w:rsidRPr="00487F35">
              <w:rPr>
                <w:rFonts w:cstheme="minorHAnsi"/>
                <w:b/>
              </w:rPr>
              <w:t>Review Date:</w:t>
            </w:r>
          </w:p>
          <w:p w14:paraId="7DD20903" w14:textId="77777777" w:rsidR="004E6C7F" w:rsidRPr="00487F35" w:rsidRDefault="004E6C7F" w:rsidP="00A42D12">
            <w:pPr>
              <w:jc w:val="both"/>
              <w:rPr>
                <w:rFonts w:cstheme="minorHAnsi"/>
                <w:b/>
              </w:rPr>
            </w:pPr>
          </w:p>
        </w:tc>
        <w:tc>
          <w:tcPr>
            <w:tcW w:w="2107"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7DB0C135" w14:textId="77777777" w:rsidR="004E6C7F" w:rsidRDefault="004E6C7F" w:rsidP="00A42D12">
            <w:pPr>
              <w:jc w:val="both"/>
              <w:rPr>
                <w:rFonts w:cstheme="minorHAnsi"/>
              </w:rPr>
            </w:pPr>
          </w:p>
          <w:p w14:paraId="00F0F7AF" w14:textId="77777777" w:rsidR="004E6C7F" w:rsidRPr="00487F35" w:rsidRDefault="004E6C7F" w:rsidP="00A42D12">
            <w:pPr>
              <w:jc w:val="both"/>
              <w:rPr>
                <w:rFonts w:cstheme="minorHAnsi"/>
              </w:rPr>
            </w:pPr>
          </w:p>
        </w:tc>
        <w:tc>
          <w:tcPr>
            <w:tcW w:w="2101"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375A9791" w14:textId="77777777" w:rsidR="004E6C7F" w:rsidRPr="00487F35" w:rsidRDefault="004E6C7F" w:rsidP="00A42D12">
            <w:pPr>
              <w:jc w:val="both"/>
              <w:rPr>
                <w:rFonts w:cstheme="minorHAnsi"/>
              </w:rPr>
            </w:pPr>
          </w:p>
        </w:tc>
        <w:tc>
          <w:tcPr>
            <w:tcW w:w="2112"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297568D9" w14:textId="77777777" w:rsidR="004E6C7F" w:rsidRPr="00487F35" w:rsidRDefault="004E6C7F" w:rsidP="00A42D12">
            <w:pPr>
              <w:jc w:val="both"/>
              <w:rPr>
                <w:rFonts w:cstheme="minorHAnsi"/>
              </w:rPr>
            </w:pPr>
          </w:p>
        </w:tc>
      </w:tr>
      <w:tr w:rsidR="004E6C7F" w:rsidRPr="00487F35" w14:paraId="170C094B" w14:textId="77777777" w:rsidTr="00C70497">
        <w:tc>
          <w:tcPr>
            <w:tcW w:w="2369"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09168B76" w14:textId="77777777" w:rsidR="004E6C7F" w:rsidRPr="00487F35" w:rsidRDefault="004E6C7F" w:rsidP="00A42D12">
            <w:pPr>
              <w:jc w:val="both"/>
              <w:rPr>
                <w:rFonts w:cstheme="minorHAnsi"/>
                <w:b/>
              </w:rPr>
            </w:pPr>
          </w:p>
          <w:p w14:paraId="40F0F067" w14:textId="77777777" w:rsidR="004E6C7F" w:rsidRPr="00487F35" w:rsidRDefault="004E6C7F" w:rsidP="00A42D12">
            <w:pPr>
              <w:jc w:val="both"/>
              <w:rPr>
                <w:rFonts w:cstheme="minorHAnsi"/>
              </w:rPr>
            </w:pPr>
            <w:r w:rsidRPr="00487F35">
              <w:rPr>
                <w:rFonts w:cstheme="minorHAnsi"/>
                <w:b/>
              </w:rPr>
              <w:t>Publication:</w:t>
            </w:r>
          </w:p>
        </w:tc>
        <w:tc>
          <w:tcPr>
            <w:tcW w:w="2107"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764384A5" w14:textId="77777777" w:rsidR="00C70497" w:rsidRDefault="00C70497" w:rsidP="00A42D12">
            <w:pPr>
              <w:jc w:val="both"/>
              <w:rPr>
                <w:rFonts w:cstheme="minorHAnsi"/>
              </w:rPr>
            </w:pPr>
          </w:p>
          <w:p w14:paraId="174496FE" w14:textId="77777777" w:rsidR="004E6C7F" w:rsidRPr="00487F35" w:rsidRDefault="004E6C7F" w:rsidP="00A42D12">
            <w:pPr>
              <w:jc w:val="both"/>
              <w:rPr>
                <w:rFonts w:cstheme="minorHAnsi"/>
              </w:rPr>
            </w:pPr>
            <w:r w:rsidRPr="00487F35">
              <w:rPr>
                <w:rFonts w:cstheme="minorHAnsi"/>
              </w:rPr>
              <w:t>Staff Intranet</w:t>
            </w:r>
          </w:p>
          <w:p w14:paraId="3D615B3A" w14:textId="77777777" w:rsidR="004E6C7F" w:rsidRPr="00487F35" w:rsidRDefault="004E6C7F" w:rsidP="00A42D12">
            <w:pPr>
              <w:jc w:val="both"/>
              <w:rPr>
                <w:rFonts w:cstheme="minorHAnsi"/>
              </w:rPr>
            </w:pPr>
          </w:p>
        </w:tc>
        <w:tc>
          <w:tcPr>
            <w:tcW w:w="2101"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5AF58873" w14:textId="77777777" w:rsidR="004E6C7F" w:rsidRPr="00487F35" w:rsidRDefault="004E6C7F" w:rsidP="00A42D12">
            <w:pPr>
              <w:jc w:val="both"/>
              <w:rPr>
                <w:rFonts w:cstheme="minorHAnsi"/>
              </w:rPr>
            </w:pPr>
          </w:p>
        </w:tc>
        <w:tc>
          <w:tcPr>
            <w:tcW w:w="2112"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18808F74" w14:textId="77777777" w:rsidR="004E6C7F" w:rsidRPr="00487F35" w:rsidRDefault="004E6C7F" w:rsidP="00A42D12">
            <w:pPr>
              <w:jc w:val="both"/>
              <w:rPr>
                <w:rFonts w:cstheme="minorHAnsi"/>
              </w:rPr>
            </w:pPr>
          </w:p>
        </w:tc>
      </w:tr>
      <w:tr w:rsidR="004E6C7F" w:rsidRPr="00487F35" w14:paraId="37067C03" w14:textId="77777777" w:rsidTr="00C70497">
        <w:tc>
          <w:tcPr>
            <w:tcW w:w="8689" w:type="dxa"/>
            <w:gridSpan w:val="4"/>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AEAAAA" w:themeFill="background2" w:themeFillShade="BF"/>
          </w:tcPr>
          <w:p w14:paraId="43CD45E8" w14:textId="77777777" w:rsidR="004E6C7F" w:rsidRPr="00C70497" w:rsidRDefault="004E6C7F" w:rsidP="00A42D12">
            <w:pPr>
              <w:jc w:val="both"/>
              <w:rPr>
                <w:rFonts w:cstheme="minorHAnsi"/>
                <w:sz w:val="12"/>
                <w:szCs w:val="12"/>
              </w:rPr>
            </w:pPr>
          </w:p>
          <w:p w14:paraId="34FFAFF2" w14:textId="77777777" w:rsidR="004E6C7F" w:rsidRPr="00487F35" w:rsidRDefault="004E6C7F" w:rsidP="00A42D12">
            <w:pPr>
              <w:jc w:val="both"/>
              <w:rPr>
                <w:rFonts w:cstheme="minorHAnsi"/>
                <w:b/>
              </w:rPr>
            </w:pPr>
            <w:r w:rsidRPr="00487F35">
              <w:rPr>
                <w:rFonts w:cstheme="minorHAnsi"/>
                <w:b/>
              </w:rPr>
              <w:t>Quality Assurance</w:t>
            </w:r>
          </w:p>
          <w:p w14:paraId="500DA883" w14:textId="77777777" w:rsidR="004E6C7F" w:rsidRPr="00C70497" w:rsidRDefault="004E6C7F" w:rsidP="00A42D12">
            <w:pPr>
              <w:jc w:val="both"/>
              <w:rPr>
                <w:rFonts w:cstheme="minorHAnsi"/>
                <w:sz w:val="12"/>
                <w:szCs w:val="12"/>
              </w:rPr>
            </w:pPr>
          </w:p>
        </w:tc>
      </w:tr>
      <w:tr w:rsidR="004E6C7F" w:rsidRPr="00487F35" w14:paraId="101393FA" w14:textId="77777777" w:rsidTr="00C70497">
        <w:trPr>
          <w:trHeight w:val="491"/>
        </w:trPr>
        <w:tc>
          <w:tcPr>
            <w:tcW w:w="8689" w:type="dxa"/>
            <w:gridSpan w:val="4"/>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0ED05170" w14:textId="77777777" w:rsidR="004E6C7F" w:rsidRPr="00C70497" w:rsidRDefault="004E6C7F" w:rsidP="00A42D12">
            <w:pPr>
              <w:rPr>
                <w:rFonts w:cstheme="minorHAnsi"/>
                <w:sz w:val="12"/>
                <w:szCs w:val="12"/>
              </w:rPr>
            </w:pPr>
          </w:p>
          <w:p w14:paraId="68D10110" w14:textId="77777777" w:rsidR="004E6C7F" w:rsidRPr="00487F35" w:rsidRDefault="004E6C7F" w:rsidP="00A42D12">
            <w:pPr>
              <w:rPr>
                <w:rFonts w:cstheme="minorHAnsi"/>
              </w:rPr>
            </w:pPr>
            <w:r w:rsidRPr="00487F35">
              <w:rPr>
                <w:rFonts w:cstheme="minorHAnsi"/>
              </w:rPr>
              <w:t>This Policy and Procedure maps to the following external quality assurance frameworks</w:t>
            </w:r>
          </w:p>
          <w:p w14:paraId="3522B8AD" w14:textId="77777777" w:rsidR="004E6C7F" w:rsidRPr="00487F35" w:rsidRDefault="004E6C7F" w:rsidP="00A42D12">
            <w:pPr>
              <w:rPr>
                <w:rFonts w:cstheme="minorHAnsi"/>
              </w:rPr>
            </w:pPr>
          </w:p>
        </w:tc>
      </w:tr>
      <w:tr w:rsidR="004E6C7F" w:rsidRPr="00487F35" w14:paraId="1F853159" w14:textId="77777777" w:rsidTr="00C70497">
        <w:tc>
          <w:tcPr>
            <w:tcW w:w="4476"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D0CECE" w:themeFill="background2" w:themeFillShade="E6"/>
          </w:tcPr>
          <w:p w14:paraId="5A208A1A" w14:textId="77777777" w:rsidR="004E6C7F" w:rsidRPr="00C70497" w:rsidRDefault="004E6C7F" w:rsidP="00A42D12">
            <w:pPr>
              <w:jc w:val="center"/>
              <w:rPr>
                <w:rFonts w:cstheme="minorHAnsi"/>
                <w:b/>
                <w:sz w:val="12"/>
                <w:szCs w:val="12"/>
              </w:rPr>
            </w:pPr>
          </w:p>
          <w:p w14:paraId="2D5EEEB3" w14:textId="77777777" w:rsidR="004E6C7F" w:rsidRPr="00487F35" w:rsidRDefault="004E6C7F" w:rsidP="00A42D12">
            <w:pPr>
              <w:jc w:val="center"/>
              <w:rPr>
                <w:rFonts w:cstheme="minorHAnsi"/>
                <w:b/>
              </w:rPr>
            </w:pPr>
            <w:r w:rsidRPr="00487F35">
              <w:rPr>
                <w:rFonts w:cstheme="minorHAnsi"/>
                <w:b/>
              </w:rPr>
              <w:t>Framework</w:t>
            </w:r>
          </w:p>
          <w:p w14:paraId="2DF8080B" w14:textId="77777777" w:rsidR="004E6C7F" w:rsidRPr="00C70497" w:rsidRDefault="004E6C7F" w:rsidP="00A42D12">
            <w:pPr>
              <w:jc w:val="center"/>
              <w:rPr>
                <w:rFonts w:cstheme="minorHAnsi"/>
                <w:b/>
                <w:sz w:val="12"/>
                <w:szCs w:val="12"/>
              </w:rPr>
            </w:pPr>
          </w:p>
        </w:tc>
        <w:tc>
          <w:tcPr>
            <w:tcW w:w="4213"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D0CECE" w:themeFill="background2" w:themeFillShade="E6"/>
          </w:tcPr>
          <w:p w14:paraId="1F595E9F" w14:textId="77777777" w:rsidR="004E6C7F" w:rsidRPr="00C70497" w:rsidRDefault="004E6C7F" w:rsidP="00A42D12">
            <w:pPr>
              <w:jc w:val="center"/>
              <w:rPr>
                <w:rFonts w:cstheme="minorHAnsi"/>
                <w:b/>
                <w:sz w:val="12"/>
                <w:szCs w:val="12"/>
              </w:rPr>
            </w:pPr>
          </w:p>
          <w:p w14:paraId="428FBE52" w14:textId="77777777" w:rsidR="004E6C7F" w:rsidRPr="00487F35" w:rsidRDefault="004E6C7F" w:rsidP="00A42D12">
            <w:pPr>
              <w:jc w:val="center"/>
              <w:rPr>
                <w:rFonts w:cstheme="minorHAnsi"/>
                <w:b/>
              </w:rPr>
            </w:pPr>
            <w:r w:rsidRPr="00487F35">
              <w:rPr>
                <w:rFonts w:cstheme="minorHAnsi"/>
                <w:b/>
              </w:rPr>
              <w:t>Framework Section Reference(s)</w:t>
            </w:r>
          </w:p>
        </w:tc>
      </w:tr>
      <w:tr w:rsidR="004E6C7F" w:rsidRPr="00487F35" w14:paraId="2BB418A2" w14:textId="77777777" w:rsidTr="00C70497">
        <w:tc>
          <w:tcPr>
            <w:tcW w:w="4476"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53C2E9D7" w14:textId="77777777" w:rsidR="004E6C7F" w:rsidRPr="00487F35" w:rsidRDefault="004E6C7F" w:rsidP="00A42D12">
            <w:pPr>
              <w:jc w:val="both"/>
              <w:rPr>
                <w:rFonts w:cstheme="minorHAnsi"/>
                <w:b/>
              </w:rPr>
            </w:pPr>
            <w:r w:rsidRPr="00487F35">
              <w:rPr>
                <w:rFonts w:cstheme="minorHAnsi"/>
                <w:b/>
              </w:rPr>
              <w:t>Common Inspection Framework</w:t>
            </w:r>
          </w:p>
        </w:tc>
        <w:tc>
          <w:tcPr>
            <w:tcW w:w="4213"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7791B405" w14:textId="77777777" w:rsidR="004E6C7F" w:rsidRPr="00487F35" w:rsidRDefault="004E6C7F" w:rsidP="00A42D12">
            <w:pPr>
              <w:jc w:val="both"/>
              <w:rPr>
                <w:rFonts w:cstheme="minorHAnsi"/>
              </w:rPr>
            </w:pPr>
          </w:p>
        </w:tc>
      </w:tr>
      <w:tr w:rsidR="004E6C7F" w:rsidRPr="00487F35" w14:paraId="51EBA2C4" w14:textId="77777777" w:rsidTr="00C70497">
        <w:tc>
          <w:tcPr>
            <w:tcW w:w="4476"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3721B939" w14:textId="77777777" w:rsidR="004E6C7F" w:rsidRPr="00487F35" w:rsidRDefault="004E6C7F" w:rsidP="00A42D12">
            <w:pPr>
              <w:jc w:val="both"/>
              <w:rPr>
                <w:rFonts w:cstheme="minorHAnsi"/>
                <w:b/>
              </w:rPr>
            </w:pPr>
            <w:r w:rsidRPr="00487F35">
              <w:rPr>
                <w:rFonts w:cstheme="minorHAnsi"/>
                <w:b/>
              </w:rPr>
              <w:t>MATRIX</w:t>
            </w:r>
          </w:p>
        </w:tc>
        <w:tc>
          <w:tcPr>
            <w:tcW w:w="4213"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23CB864B" w14:textId="77777777" w:rsidR="004E6C7F" w:rsidRPr="00487F35" w:rsidRDefault="004E6C7F" w:rsidP="00A42D12">
            <w:pPr>
              <w:jc w:val="both"/>
              <w:rPr>
                <w:rFonts w:cstheme="minorHAnsi"/>
              </w:rPr>
            </w:pPr>
          </w:p>
        </w:tc>
      </w:tr>
      <w:tr w:rsidR="004E6C7F" w:rsidRPr="00487F35" w14:paraId="345BC82A" w14:textId="77777777" w:rsidTr="00C70497">
        <w:tc>
          <w:tcPr>
            <w:tcW w:w="4476"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57D029E5" w14:textId="77777777" w:rsidR="004E6C7F" w:rsidRPr="00487F35" w:rsidRDefault="004E6C7F" w:rsidP="00A42D12">
            <w:pPr>
              <w:jc w:val="both"/>
              <w:rPr>
                <w:rFonts w:cstheme="minorHAnsi"/>
                <w:b/>
              </w:rPr>
            </w:pPr>
            <w:r w:rsidRPr="00487F35">
              <w:rPr>
                <w:rFonts w:cstheme="minorHAnsi"/>
                <w:b/>
              </w:rPr>
              <w:t>QAA</w:t>
            </w:r>
          </w:p>
        </w:tc>
        <w:tc>
          <w:tcPr>
            <w:tcW w:w="4213"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67E41739" w14:textId="77777777" w:rsidR="004E6C7F" w:rsidRPr="00487F35" w:rsidRDefault="004E6C7F" w:rsidP="00A42D12">
            <w:pPr>
              <w:jc w:val="both"/>
              <w:rPr>
                <w:rFonts w:cstheme="minorHAnsi"/>
              </w:rPr>
            </w:pPr>
          </w:p>
        </w:tc>
      </w:tr>
      <w:tr w:rsidR="004E6C7F" w:rsidRPr="00487F35" w14:paraId="754960A6" w14:textId="77777777" w:rsidTr="00C70497">
        <w:tc>
          <w:tcPr>
            <w:tcW w:w="4476"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401AC0A9" w14:textId="77777777" w:rsidR="004E6C7F" w:rsidRPr="00487F35" w:rsidRDefault="004E6C7F" w:rsidP="00A42D12">
            <w:pPr>
              <w:jc w:val="both"/>
              <w:rPr>
                <w:rFonts w:cstheme="minorHAnsi"/>
                <w:b/>
              </w:rPr>
            </w:pPr>
            <w:r w:rsidRPr="00487F35">
              <w:rPr>
                <w:rFonts w:cstheme="minorHAnsi"/>
                <w:b/>
              </w:rPr>
              <w:t>QIA</w:t>
            </w:r>
          </w:p>
        </w:tc>
        <w:tc>
          <w:tcPr>
            <w:tcW w:w="4213"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5D5DDF38" w14:textId="77777777" w:rsidR="004E6C7F" w:rsidRPr="00487F35" w:rsidRDefault="004E6C7F" w:rsidP="00A42D12">
            <w:pPr>
              <w:jc w:val="both"/>
              <w:rPr>
                <w:rFonts w:cstheme="minorHAnsi"/>
              </w:rPr>
            </w:pPr>
          </w:p>
        </w:tc>
      </w:tr>
      <w:tr w:rsidR="004E6C7F" w:rsidRPr="00487F35" w14:paraId="327E8E6C" w14:textId="77777777" w:rsidTr="00C70497">
        <w:tc>
          <w:tcPr>
            <w:tcW w:w="4476"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1B0DC36F" w14:textId="77777777" w:rsidR="004E6C7F" w:rsidRPr="00487F35" w:rsidRDefault="004E6C7F" w:rsidP="00A42D12">
            <w:pPr>
              <w:jc w:val="both"/>
              <w:rPr>
                <w:rFonts w:cstheme="minorHAnsi"/>
                <w:b/>
              </w:rPr>
            </w:pPr>
            <w:r w:rsidRPr="00487F35">
              <w:rPr>
                <w:rFonts w:cstheme="minorHAnsi"/>
                <w:b/>
              </w:rPr>
              <w:t>SFA</w:t>
            </w:r>
          </w:p>
        </w:tc>
        <w:tc>
          <w:tcPr>
            <w:tcW w:w="4213" w:type="dxa"/>
            <w:gridSpan w:val="2"/>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7A0F2800" w14:textId="77777777" w:rsidR="004E6C7F" w:rsidRPr="00487F35" w:rsidRDefault="004E6C7F" w:rsidP="00A42D12">
            <w:pPr>
              <w:jc w:val="both"/>
              <w:rPr>
                <w:rFonts w:cstheme="minorHAnsi"/>
              </w:rPr>
            </w:pPr>
          </w:p>
        </w:tc>
      </w:tr>
    </w:tbl>
    <w:p w14:paraId="3C2A99FB" w14:textId="77777777" w:rsidR="008D6D4C" w:rsidRDefault="008D6D4C" w:rsidP="008D6D4C">
      <w:pPr>
        <w:pStyle w:val="ListParagraph"/>
        <w:jc w:val="center"/>
        <w:rPr>
          <w:rFonts w:asciiTheme="minorHAnsi" w:hAnsiTheme="minorHAnsi" w:cstheme="minorHAnsi"/>
          <w:b/>
          <w:color w:val="000000" w:themeColor="text1"/>
          <w:sz w:val="22"/>
          <w:szCs w:val="22"/>
        </w:rPr>
      </w:pPr>
    </w:p>
    <w:p w14:paraId="4961F65E" w14:textId="77777777" w:rsidR="008D6D4C" w:rsidRPr="00487F35" w:rsidRDefault="008D6D4C" w:rsidP="008D6D4C">
      <w:pPr>
        <w:pStyle w:val="ListParagraph"/>
        <w:jc w:val="center"/>
        <w:rPr>
          <w:rFonts w:asciiTheme="minorHAnsi" w:hAnsiTheme="minorHAnsi" w:cstheme="minorHAnsi"/>
          <w:b/>
          <w:color w:val="000000" w:themeColor="text1"/>
          <w:sz w:val="22"/>
          <w:szCs w:val="22"/>
        </w:rPr>
      </w:pPr>
      <w:r w:rsidRPr="00487F35">
        <w:rPr>
          <w:rFonts w:asciiTheme="minorHAnsi" w:hAnsiTheme="minorHAnsi" w:cstheme="minorHAnsi"/>
          <w:b/>
          <w:color w:val="000000" w:themeColor="text1"/>
          <w:sz w:val="22"/>
          <w:szCs w:val="22"/>
        </w:rPr>
        <w:t>All Myer</w:t>
      </w:r>
      <w:r>
        <w:rPr>
          <w:rFonts w:asciiTheme="minorHAnsi" w:hAnsiTheme="minorHAnsi" w:cstheme="minorHAnsi"/>
          <w:b/>
          <w:color w:val="000000" w:themeColor="text1"/>
          <w:sz w:val="22"/>
          <w:szCs w:val="22"/>
        </w:rPr>
        <w:t>s</w:t>
      </w:r>
      <w:r w:rsidRPr="00487F35">
        <w:rPr>
          <w:rFonts w:asciiTheme="minorHAnsi" w:hAnsiTheme="minorHAnsi" w:cstheme="minorHAnsi"/>
          <w:b/>
          <w:color w:val="000000" w:themeColor="text1"/>
          <w:sz w:val="22"/>
          <w:szCs w:val="22"/>
        </w:rPr>
        <w:t xml:space="preserve">cough College Policies are subject to </w:t>
      </w:r>
      <w:r>
        <w:rPr>
          <w:rFonts w:asciiTheme="minorHAnsi" w:hAnsiTheme="minorHAnsi" w:cstheme="minorHAnsi"/>
          <w:b/>
          <w:color w:val="000000" w:themeColor="text1"/>
          <w:sz w:val="22"/>
          <w:szCs w:val="22"/>
        </w:rPr>
        <w:t xml:space="preserve">screening for </w:t>
      </w:r>
      <w:r w:rsidRPr="00487F35">
        <w:rPr>
          <w:rFonts w:asciiTheme="minorHAnsi" w:hAnsiTheme="minorHAnsi" w:cstheme="minorHAnsi"/>
          <w:b/>
          <w:color w:val="000000" w:themeColor="text1"/>
          <w:sz w:val="22"/>
          <w:szCs w:val="22"/>
        </w:rPr>
        <w:t>Equality Impact A</w:t>
      </w:r>
      <w:r>
        <w:rPr>
          <w:rFonts w:asciiTheme="minorHAnsi" w:hAnsiTheme="minorHAnsi" w:cstheme="minorHAnsi"/>
          <w:b/>
          <w:color w:val="000000" w:themeColor="text1"/>
          <w:sz w:val="22"/>
          <w:szCs w:val="22"/>
        </w:rPr>
        <w:t>ssessment</w:t>
      </w:r>
    </w:p>
    <w:p w14:paraId="4E35593A" w14:textId="77777777" w:rsidR="008D6D4C" w:rsidRPr="00A40F30" w:rsidRDefault="008D6D4C" w:rsidP="008D6D4C">
      <w:pPr>
        <w:pStyle w:val="ListParagraph"/>
        <w:jc w:val="center"/>
        <w:rPr>
          <w:rFonts w:asciiTheme="minorHAnsi" w:hAnsiTheme="minorHAnsi" w:cstheme="minorHAnsi"/>
          <w:b/>
          <w:color w:val="000000" w:themeColor="text1"/>
          <w:sz w:val="12"/>
          <w:szCs w:val="12"/>
        </w:rPr>
      </w:pPr>
    </w:p>
    <w:p w14:paraId="6FACE12E" w14:textId="77777777" w:rsidR="008D6D4C" w:rsidRDefault="008D6D4C" w:rsidP="008D6D4C">
      <w:pPr>
        <w:pStyle w:val="ListParagraph"/>
        <w:jc w:val="center"/>
        <w:rPr>
          <w:rFonts w:asciiTheme="minorHAnsi" w:hAnsiTheme="minorHAnsi" w:cstheme="minorHAnsi"/>
          <w:color w:val="000000" w:themeColor="text1"/>
          <w:sz w:val="22"/>
          <w:szCs w:val="22"/>
        </w:rPr>
      </w:pPr>
      <w:r w:rsidRPr="00487F35">
        <w:rPr>
          <w:rFonts w:asciiTheme="minorHAnsi" w:hAnsiTheme="minorHAnsi" w:cstheme="minorHAnsi"/>
          <w:color w:val="000000" w:themeColor="text1"/>
          <w:sz w:val="22"/>
          <w:szCs w:val="22"/>
        </w:rPr>
        <w:t xml:space="preserve">Equality Impact Assessments are carried out to see whether the policy has, or is likely to have, a negative impact on grounds of:  age, disability, gender reassignment, pregnancy and maternity, race, religion or belief, </w:t>
      </w:r>
      <w:r>
        <w:rPr>
          <w:rFonts w:asciiTheme="minorHAnsi" w:hAnsiTheme="minorHAnsi" w:cstheme="minorHAnsi"/>
          <w:color w:val="000000" w:themeColor="text1"/>
          <w:sz w:val="22"/>
          <w:szCs w:val="22"/>
        </w:rPr>
        <w:t xml:space="preserve">marriage or civil partnership, </w:t>
      </w:r>
      <w:r w:rsidRPr="00487F35">
        <w:rPr>
          <w:rFonts w:asciiTheme="minorHAnsi" w:hAnsiTheme="minorHAnsi" w:cstheme="minorHAnsi"/>
          <w:color w:val="000000" w:themeColor="text1"/>
          <w:sz w:val="22"/>
          <w:szCs w:val="22"/>
        </w:rPr>
        <w:t>sex or sexual orientation</w:t>
      </w:r>
    </w:p>
    <w:p w14:paraId="56479D1E" w14:textId="77777777" w:rsidR="008D6D4C" w:rsidRPr="00A40F30" w:rsidRDefault="008D6D4C" w:rsidP="008D6D4C">
      <w:pPr>
        <w:pStyle w:val="ListParagraph"/>
        <w:jc w:val="center"/>
        <w:rPr>
          <w:rFonts w:asciiTheme="minorHAnsi" w:hAnsiTheme="minorHAnsi" w:cstheme="minorHAnsi"/>
          <w:color w:val="000000" w:themeColor="text1"/>
          <w:sz w:val="12"/>
          <w:szCs w:val="12"/>
        </w:rPr>
      </w:pPr>
    </w:p>
    <w:p w14:paraId="14636809" w14:textId="77777777" w:rsidR="008D6D4C" w:rsidRPr="00CE246C" w:rsidRDefault="008D6D4C" w:rsidP="008D6D4C">
      <w:pPr>
        <w:pStyle w:val="ListParagraph"/>
        <w:jc w:val="center"/>
        <w:rPr>
          <w:rFonts w:asciiTheme="minorHAnsi" w:hAnsiTheme="minorHAnsi" w:cstheme="minorHAnsi"/>
          <w:color w:val="000000" w:themeColor="text1"/>
          <w:sz w:val="22"/>
          <w:szCs w:val="22"/>
        </w:rPr>
      </w:pPr>
      <w:r w:rsidRPr="00CE246C">
        <w:rPr>
          <w:rFonts w:asciiTheme="minorHAnsi" w:hAnsiTheme="minorHAnsi" w:cstheme="minorHAnsi"/>
          <w:color w:val="000000" w:themeColor="text1"/>
          <w:sz w:val="22"/>
          <w:szCs w:val="22"/>
        </w:rPr>
        <w:t xml:space="preserve">Myerscough College not only fulfils its legal position in relation to current  and future equality legislation, but additionally goes beyond compliance in providing and promoting “Opportunities for all to succeed”, free from any aspect of discrimination, harassment or victimisation. </w:t>
      </w:r>
    </w:p>
    <w:p w14:paraId="449AD678" w14:textId="77777777" w:rsidR="008D6D4C" w:rsidRPr="00A40F30" w:rsidRDefault="008D6D4C" w:rsidP="008D6D4C">
      <w:pPr>
        <w:pStyle w:val="ListParagraph"/>
        <w:jc w:val="center"/>
        <w:rPr>
          <w:rFonts w:asciiTheme="minorHAnsi" w:hAnsiTheme="minorHAnsi" w:cstheme="minorHAnsi"/>
          <w:color w:val="000000" w:themeColor="text1"/>
          <w:sz w:val="12"/>
          <w:szCs w:val="12"/>
        </w:rPr>
      </w:pPr>
    </w:p>
    <w:p w14:paraId="03229217" w14:textId="77777777" w:rsidR="008D6D4C" w:rsidRDefault="008D6D4C" w:rsidP="008D6D4C">
      <w:pPr>
        <w:pStyle w:val="ListParagraph"/>
        <w:jc w:val="center"/>
        <w:rPr>
          <w:rFonts w:asciiTheme="minorHAnsi" w:hAnsiTheme="minorHAnsi" w:cstheme="minorHAnsi"/>
          <w:color w:val="000000" w:themeColor="text1"/>
          <w:sz w:val="22"/>
          <w:szCs w:val="22"/>
        </w:rPr>
      </w:pPr>
      <w:r w:rsidRPr="00CE246C">
        <w:rPr>
          <w:rFonts w:asciiTheme="minorHAnsi" w:hAnsiTheme="minorHAnsi" w:cstheme="minorHAnsi"/>
          <w:color w:val="000000" w:themeColor="text1"/>
          <w:sz w:val="22"/>
          <w:szCs w:val="22"/>
        </w:rPr>
        <w:t xml:space="preserve">All staff have a duty of care to look after the interests of and support their colleagues. </w:t>
      </w:r>
      <w:r w:rsidRPr="00CE246C">
        <w:rPr>
          <w:rFonts w:asciiTheme="minorHAnsi" w:hAnsiTheme="minorHAnsi" w:cstheme="minorHAnsi"/>
          <w:i/>
          <w:iCs/>
          <w:color w:val="000000" w:themeColor="text1"/>
          <w:sz w:val="22"/>
          <w:szCs w:val="22"/>
        </w:rPr>
        <w:t xml:space="preserve">This policy takes account of </w:t>
      </w:r>
      <w:r w:rsidRPr="00CE246C">
        <w:rPr>
          <w:rFonts w:asciiTheme="minorHAnsi" w:hAnsiTheme="minorHAnsi" w:cstheme="minorHAnsi"/>
          <w:color w:val="000000" w:themeColor="text1"/>
          <w:sz w:val="22"/>
          <w:szCs w:val="22"/>
        </w:rPr>
        <w:t>our commitment to eliminating discrimination, identifying and removing barriers and providing equal opportunities for our learners, staff and visitors to ensure that no one feels excluded or disadvantaged.</w:t>
      </w:r>
    </w:p>
    <w:p w14:paraId="604B1D53" w14:textId="77777777" w:rsidR="008D6D4C" w:rsidRPr="00542AC0" w:rsidRDefault="008D6D4C" w:rsidP="00542AC0">
      <w:pPr>
        <w:pStyle w:val="ListParagraph"/>
        <w:jc w:val="center"/>
        <w:rPr>
          <w:rFonts w:asciiTheme="minorHAnsi" w:hAnsiTheme="minorHAnsi" w:cstheme="minorHAnsi"/>
          <w:color w:val="000000" w:themeColor="text1"/>
          <w:sz w:val="22"/>
          <w:szCs w:val="22"/>
        </w:rPr>
      </w:pPr>
    </w:p>
    <w:p w14:paraId="3CB0CFFF" w14:textId="77777777" w:rsidR="008D6D4C" w:rsidRDefault="008D6D4C" w:rsidP="00542AC0">
      <w:pPr>
        <w:pStyle w:val="ListParagraph"/>
        <w:jc w:val="center"/>
        <w:rPr>
          <w:rFonts w:asciiTheme="minorHAnsi" w:hAnsiTheme="minorHAnsi" w:cstheme="minorHAnsi"/>
          <w:b/>
          <w:color w:val="000000" w:themeColor="text1"/>
          <w:sz w:val="22"/>
          <w:szCs w:val="22"/>
        </w:rPr>
      </w:pPr>
      <w:r w:rsidRPr="00542AC0">
        <w:rPr>
          <w:rFonts w:asciiTheme="minorHAnsi" w:hAnsiTheme="minorHAnsi" w:cstheme="minorHAnsi"/>
          <w:b/>
          <w:color w:val="000000" w:themeColor="text1"/>
          <w:sz w:val="22"/>
          <w:szCs w:val="22"/>
        </w:rPr>
        <w:t>Safeguarding, Learner Protection and Prevent</w:t>
      </w:r>
    </w:p>
    <w:p w14:paraId="6628481F" w14:textId="77777777" w:rsidR="00542AC0" w:rsidRPr="00542AC0" w:rsidRDefault="00542AC0" w:rsidP="00542AC0">
      <w:pPr>
        <w:pStyle w:val="ListParagraph"/>
        <w:jc w:val="center"/>
        <w:rPr>
          <w:rFonts w:asciiTheme="minorHAnsi" w:hAnsiTheme="minorHAnsi" w:cstheme="minorHAnsi"/>
          <w:b/>
          <w:color w:val="000000" w:themeColor="text1"/>
          <w:sz w:val="12"/>
          <w:szCs w:val="12"/>
        </w:rPr>
      </w:pPr>
    </w:p>
    <w:p w14:paraId="3263A8FA" w14:textId="77777777" w:rsidR="008D6D4C" w:rsidRPr="00542AC0" w:rsidRDefault="008D6D4C" w:rsidP="00542AC0">
      <w:pPr>
        <w:pStyle w:val="ListParagraph"/>
        <w:jc w:val="center"/>
        <w:rPr>
          <w:rFonts w:asciiTheme="minorHAnsi" w:hAnsiTheme="minorHAnsi" w:cstheme="minorHAnsi"/>
          <w:color w:val="000000" w:themeColor="text1"/>
          <w:sz w:val="22"/>
          <w:szCs w:val="22"/>
        </w:rPr>
      </w:pPr>
      <w:r w:rsidRPr="00542AC0">
        <w:rPr>
          <w:rFonts w:asciiTheme="minorHAnsi" w:hAnsiTheme="minorHAnsi" w:cstheme="minorHAnsi"/>
          <w:color w:val="000000" w:themeColor="text1"/>
          <w:sz w:val="22"/>
          <w:szCs w:val="22"/>
        </w:rPr>
        <w:t>All staff have a responsibility to support and promote the College’s commitment to providing a safe environment for students, staff and visitors.  Additionally, all staff have a responsibility to report any safeguarding or Prevent issues to the Designated Senior Lead for Safeguarding and Prevent.</w:t>
      </w:r>
    </w:p>
    <w:p w14:paraId="34563EE3" w14:textId="77777777" w:rsidR="004E6C7F" w:rsidRPr="00487F35" w:rsidRDefault="004E6C7F" w:rsidP="004E6C7F">
      <w:pPr>
        <w:ind w:left="360"/>
        <w:jc w:val="both"/>
        <w:rPr>
          <w:rFonts w:cstheme="minorHAnsi"/>
        </w:rPr>
      </w:pPr>
    </w:p>
    <w:sectPr w:rsidR="004E6C7F" w:rsidRPr="00487F35">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644B" w14:textId="77777777" w:rsidR="004E6C7F" w:rsidRDefault="004E6C7F" w:rsidP="004E6C7F">
      <w:pPr>
        <w:spacing w:after="0" w:line="240" w:lineRule="auto"/>
      </w:pPr>
      <w:r>
        <w:separator/>
      </w:r>
    </w:p>
  </w:endnote>
  <w:endnote w:type="continuationSeparator" w:id="0">
    <w:p w14:paraId="040F36B8" w14:textId="77777777" w:rsidR="004E6C7F" w:rsidRDefault="004E6C7F" w:rsidP="004E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6C49" w14:textId="77777777" w:rsidR="004E6C7F" w:rsidRPr="0041020B" w:rsidRDefault="00F426DB" w:rsidP="009913C2">
    <w:pPr>
      <w:pStyle w:val="Footer"/>
      <w:tabs>
        <w:tab w:val="clear" w:pos="4513"/>
        <w:tab w:val="clear" w:pos="9026"/>
        <w:tab w:val="left" w:pos="3057"/>
      </w:tabs>
      <w:rPr>
        <w:rFonts w:asciiTheme="majorHAnsi" w:hAnsiTheme="majorHAnsi"/>
        <w:sz w:val="16"/>
        <w:szCs w:val="16"/>
      </w:rPr>
    </w:pPr>
    <w:r>
      <w:rPr>
        <w:rFonts w:asciiTheme="majorHAnsi" w:hAnsiTheme="majorHAnsi"/>
        <w:sz w:val="16"/>
        <w:szCs w:val="16"/>
      </w:rPr>
      <w:t xml:space="preserve">Initial and Surname of </w:t>
    </w:r>
    <w:r w:rsidR="004E6C7F" w:rsidRPr="0041020B">
      <w:rPr>
        <w:rFonts w:asciiTheme="majorHAnsi" w:hAnsiTheme="majorHAnsi"/>
        <w:sz w:val="16"/>
        <w:szCs w:val="16"/>
      </w:rPr>
      <w:t>Author/Reviewer</w:t>
    </w:r>
    <w:r w:rsidR="00853E0C">
      <w:rPr>
        <w:rFonts w:asciiTheme="majorHAnsi" w:hAnsiTheme="majorHAnsi"/>
        <w:sz w:val="16"/>
        <w:szCs w:val="16"/>
      </w:rPr>
      <w:t xml:space="preserve"> </w:t>
    </w:r>
  </w:p>
  <w:p w14:paraId="7C691724" w14:textId="77777777" w:rsidR="004E6C7F" w:rsidRPr="0041020B" w:rsidRDefault="004E6C7F">
    <w:pPr>
      <w:pStyle w:val="Footer"/>
      <w:rPr>
        <w:rFonts w:asciiTheme="majorHAnsi" w:hAnsiTheme="majorHAnsi"/>
        <w:sz w:val="16"/>
        <w:szCs w:val="16"/>
      </w:rPr>
    </w:pPr>
    <w:r w:rsidRPr="0041020B">
      <w:rPr>
        <w:rFonts w:asciiTheme="majorHAnsi" w:hAnsiTheme="majorHAnsi"/>
        <w:sz w:val="16"/>
        <w:szCs w:val="16"/>
      </w:rPr>
      <w:t>Month/Year</w:t>
    </w:r>
  </w:p>
  <w:p w14:paraId="66A9AC33" w14:textId="77777777" w:rsidR="004E6C7F" w:rsidRPr="0041020B" w:rsidRDefault="004E6C7F">
    <w:pPr>
      <w:pStyle w:val="Footer"/>
      <w:rPr>
        <w:rFonts w:asciiTheme="majorHAnsi" w:hAnsiTheme="majorHAnsi"/>
        <w:sz w:val="16"/>
        <w:szCs w:val="16"/>
      </w:rPr>
    </w:pPr>
    <w:r w:rsidRPr="0041020B">
      <w:rPr>
        <w:rFonts w:asciiTheme="majorHAnsi" w:hAnsiTheme="majorHAnsi"/>
        <w:sz w:val="16"/>
        <w:szCs w:val="16"/>
      </w:rPr>
      <w:t xml:space="preserve">Page </w:t>
    </w:r>
    <w:r w:rsidR="00847A17">
      <w:rPr>
        <w:rFonts w:asciiTheme="majorHAnsi" w:hAnsiTheme="majorHAnsi"/>
        <w:sz w:val="16"/>
        <w:szCs w:val="16"/>
      </w:rPr>
      <w:t xml:space="preserve">  </w:t>
    </w:r>
    <w:r w:rsidRPr="0041020B">
      <w:rPr>
        <w:rFonts w:asciiTheme="majorHAnsi" w:hAnsiTheme="majorHAnsi"/>
        <w:sz w:val="16"/>
        <w:szCs w:val="16"/>
      </w:rPr>
      <w:t xml:space="preserve">of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03939" w14:textId="77777777" w:rsidR="004E6C7F" w:rsidRDefault="004E6C7F" w:rsidP="004E6C7F">
      <w:pPr>
        <w:spacing w:after="0" w:line="240" w:lineRule="auto"/>
      </w:pPr>
      <w:r>
        <w:separator/>
      </w:r>
    </w:p>
  </w:footnote>
  <w:footnote w:type="continuationSeparator" w:id="0">
    <w:p w14:paraId="0B258769" w14:textId="77777777" w:rsidR="004E6C7F" w:rsidRDefault="004E6C7F" w:rsidP="004E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2EC5C" w14:textId="77777777" w:rsidR="004E6C7F" w:rsidRDefault="00A60845">
    <w:pPr>
      <w:pStyle w:val="Header"/>
    </w:pPr>
    <w:r>
      <w:rPr>
        <w:noProof/>
        <w:lang w:eastAsia="en-GB"/>
      </w:rPr>
      <w:pict w14:anchorId="3ADEE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92149" o:spid="_x0000_s2050" type="#_x0000_t75" style="position:absolute;margin-left:0;margin-top:0;width:451.05pt;height:638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94612" w14:textId="77777777" w:rsidR="004E6C7F" w:rsidRDefault="00A60845">
    <w:pPr>
      <w:pStyle w:val="Header"/>
    </w:pPr>
    <w:r>
      <w:rPr>
        <w:noProof/>
        <w:lang w:eastAsia="en-GB"/>
      </w:rPr>
      <w:pict w14:anchorId="13E08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92150" o:spid="_x0000_s2051" type="#_x0000_t75" style="position:absolute;margin-left:0;margin-top:0;width:451.05pt;height:638pt;z-index:-251656192;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5B294" w14:textId="77777777" w:rsidR="004E6C7F" w:rsidRDefault="00A60845">
    <w:pPr>
      <w:pStyle w:val="Header"/>
    </w:pPr>
    <w:r>
      <w:rPr>
        <w:noProof/>
        <w:lang w:eastAsia="en-GB"/>
      </w:rPr>
      <w:pict w14:anchorId="2886C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92148" o:spid="_x0000_s2049" type="#_x0000_t75" style="position:absolute;margin-left:0;margin-top:0;width:451.05pt;height:638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141F3"/>
    <w:multiLevelType w:val="hybridMultilevel"/>
    <w:tmpl w:val="9BC6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76214B"/>
    <w:multiLevelType w:val="hybridMultilevel"/>
    <w:tmpl w:val="BFA81D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7F"/>
    <w:rsid w:val="000370EB"/>
    <w:rsid w:val="0007218A"/>
    <w:rsid w:val="0008080B"/>
    <w:rsid w:val="00142C14"/>
    <w:rsid w:val="001A3844"/>
    <w:rsid w:val="001C19D6"/>
    <w:rsid w:val="001C2FDB"/>
    <w:rsid w:val="003D3785"/>
    <w:rsid w:val="0041020B"/>
    <w:rsid w:val="004B7C7A"/>
    <w:rsid w:val="004C7DF5"/>
    <w:rsid w:val="004E6C7F"/>
    <w:rsid w:val="00542AC0"/>
    <w:rsid w:val="005E609B"/>
    <w:rsid w:val="007163A4"/>
    <w:rsid w:val="007978A0"/>
    <w:rsid w:val="00847A17"/>
    <w:rsid w:val="00853E0C"/>
    <w:rsid w:val="00854A0F"/>
    <w:rsid w:val="00875A65"/>
    <w:rsid w:val="008D6D4C"/>
    <w:rsid w:val="009403D3"/>
    <w:rsid w:val="009913C2"/>
    <w:rsid w:val="009A7555"/>
    <w:rsid w:val="00A06FBC"/>
    <w:rsid w:val="00A60845"/>
    <w:rsid w:val="00AC6B47"/>
    <w:rsid w:val="00B15FED"/>
    <w:rsid w:val="00B269DA"/>
    <w:rsid w:val="00B96C6D"/>
    <w:rsid w:val="00C70497"/>
    <w:rsid w:val="00D5152C"/>
    <w:rsid w:val="00DA33A8"/>
    <w:rsid w:val="00E030C1"/>
    <w:rsid w:val="00F426DB"/>
    <w:rsid w:val="00F62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3ADBD"/>
  <w15:chartTrackingRefBased/>
  <w15:docId w15:val="{EE2104E3-E6C1-4E11-87A0-58DF75F7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C7F"/>
  </w:style>
  <w:style w:type="paragraph" w:styleId="Footer">
    <w:name w:val="footer"/>
    <w:basedOn w:val="Normal"/>
    <w:link w:val="FooterChar"/>
    <w:uiPriority w:val="99"/>
    <w:unhideWhenUsed/>
    <w:rsid w:val="004E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C7F"/>
  </w:style>
  <w:style w:type="table" w:styleId="TableGrid">
    <w:name w:val="Table Grid"/>
    <w:basedOn w:val="TableNormal"/>
    <w:uiPriority w:val="59"/>
    <w:rsid w:val="004E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6C7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0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20B"/>
    <w:rPr>
      <w:rFonts w:ascii="Segoe UI" w:hAnsi="Segoe UI" w:cs="Segoe UI"/>
      <w:sz w:val="18"/>
      <w:szCs w:val="18"/>
    </w:rPr>
  </w:style>
  <w:style w:type="character" w:styleId="Hyperlink">
    <w:name w:val="Hyperlink"/>
    <w:basedOn w:val="DefaultParagraphFont"/>
    <w:uiPriority w:val="99"/>
    <w:unhideWhenUsed/>
    <w:rsid w:val="007163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endleton@myerscough.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1F11-F4E2-4FB7-A744-AA13B099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Deborah</dc:creator>
  <cp:keywords/>
  <dc:description/>
  <cp:lastModifiedBy>Arthur, Hayley</cp:lastModifiedBy>
  <cp:revision>6</cp:revision>
  <cp:lastPrinted>2015-09-28T14:31:00Z</cp:lastPrinted>
  <dcterms:created xsi:type="dcterms:W3CDTF">2018-03-19T08:22:00Z</dcterms:created>
  <dcterms:modified xsi:type="dcterms:W3CDTF">2018-03-19T08:37:00Z</dcterms:modified>
</cp:coreProperties>
</file>